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BDD9B">
      <w:pPr>
        <w:ind w:firstLine="720"/>
        <w:jc w:val="center"/>
        <w:rPr>
          <w:rFonts w:ascii="Times New Roman" w:hAnsi="Times New Roman" w:eastAsia="宋体" w:cs="Times New Roman"/>
          <w:b/>
          <w:sz w:val="44"/>
          <w:szCs w:val="44"/>
        </w:rPr>
      </w:pPr>
      <w:bookmarkStart w:id="14" w:name="_GoBack"/>
      <w:bookmarkEnd w:id="14"/>
    </w:p>
    <w:p w14:paraId="77AEEF60">
      <w:pPr>
        <w:pStyle w:val="20"/>
        <w:tabs>
          <w:tab w:val="left" w:pos="9360"/>
        </w:tabs>
        <w:ind w:firstLine="240"/>
        <w:rPr>
          <w:rFonts w:eastAsia="宋体" w:cs="Times New Roman"/>
        </w:rPr>
      </w:pPr>
    </w:p>
    <w:p w14:paraId="2E41CEE3">
      <w:pPr>
        <w:jc w:val="center"/>
        <w:rPr>
          <w:rFonts w:ascii="Times New Roman" w:hAnsi="Times New Roman" w:eastAsia="宋体" w:cs="Times New Roman"/>
          <w:b/>
          <w:sz w:val="44"/>
          <w:szCs w:val="44"/>
        </w:rPr>
      </w:pPr>
    </w:p>
    <w:p w14:paraId="5215D083">
      <w:pPr>
        <w:jc w:val="center"/>
        <w:rPr>
          <w:rFonts w:ascii="Times New Roman" w:hAnsi="Times New Roman" w:eastAsia="宋体" w:cs="Times New Roman"/>
          <w:b/>
          <w:sz w:val="44"/>
          <w:szCs w:val="44"/>
        </w:rPr>
      </w:pPr>
    </w:p>
    <w:p w14:paraId="7FFFF026">
      <w:pPr>
        <w:jc w:val="center"/>
        <w:rPr>
          <w:rFonts w:ascii="Times New Roman" w:hAnsi="Times New Roman" w:eastAsia="宋体" w:cs="Times New Roman"/>
          <w:b/>
          <w:sz w:val="48"/>
          <w:szCs w:val="48"/>
        </w:rPr>
      </w:pPr>
      <w:r>
        <w:rPr>
          <w:rFonts w:ascii="Times New Roman" w:hAnsi="Times New Roman" w:eastAsia="宋体" w:cs="Times New Roman"/>
          <w:b/>
          <w:sz w:val="48"/>
          <w:szCs w:val="48"/>
        </w:rPr>
        <w:t>杭州市城市建设投资集团有限公司</w:t>
      </w:r>
    </w:p>
    <w:p w14:paraId="3C3D32B3">
      <w:pPr>
        <w:jc w:val="center"/>
        <w:rPr>
          <w:rFonts w:ascii="Times New Roman" w:hAnsi="Times New Roman" w:eastAsia="宋体" w:cs="Times New Roman"/>
          <w:b/>
          <w:sz w:val="48"/>
          <w:szCs w:val="48"/>
        </w:rPr>
      </w:pPr>
      <w:r>
        <w:rPr>
          <w:rFonts w:ascii="Times New Roman" w:hAnsi="Times New Roman" w:eastAsia="宋体" w:cs="Times New Roman"/>
          <w:b/>
          <w:sz w:val="48"/>
          <w:szCs w:val="48"/>
        </w:rPr>
        <w:t>小额工程施工交易文件示范文本</w:t>
      </w:r>
    </w:p>
    <w:p w14:paraId="14282BE0">
      <w:pPr>
        <w:pStyle w:val="16"/>
        <w:rPr>
          <w:rFonts w:ascii="Times New Roman" w:hAnsi="Times New Roman" w:eastAsia="宋体" w:cs="Times New Roman"/>
        </w:rPr>
      </w:pPr>
    </w:p>
    <w:p w14:paraId="1AE90FB1">
      <w:pPr>
        <w:jc w:val="center"/>
        <w:rPr>
          <w:rFonts w:ascii="Times New Roman" w:hAnsi="Times New Roman" w:eastAsia="宋体" w:cs="Times New Roman"/>
          <w:b/>
          <w:sz w:val="36"/>
          <w:szCs w:val="36"/>
        </w:rPr>
      </w:pPr>
      <w:r>
        <w:rPr>
          <w:rFonts w:ascii="Times New Roman" w:hAnsi="Times New Roman" w:eastAsia="宋体" w:cs="Times New Roman"/>
          <w:b/>
          <w:sz w:val="36"/>
          <w:szCs w:val="36"/>
        </w:rPr>
        <w:t>（2025版）</w:t>
      </w:r>
    </w:p>
    <w:p w14:paraId="49215BA9">
      <w:pPr>
        <w:jc w:val="center"/>
        <w:rPr>
          <w:rFonts w:ascii="Times New Roman" w:hAnsi="Times New Roman" w:eastAsia="宋体" w:cs="Times New Roman"/>
          <w:b/>
          <w:sz w:val="48"/>
          <w:szCs w:val="48"/>
        </w:rPr>
      </w:pPr>
    </w:p>
    <w:p w14:paraId="12FC8F70">
      <w:pPr>
        <w:jc w:val="center"/>
        <w:rPr>
          <w:rFonts w:ascii="Times New Roman" w:hAnsi="Times New Roman" w:eastAsia="宋体" w:cs="Times New Roman"/>
          <w:b/>
          <w:sz w:val="48"/>
          <w:szCs w:val="48"/>
        </w:rPr>
      </w:pPr>
    </w:p>
    <w:p w14:paraId="740D4AD0">
      <w:pPr>
        <w:jc w:val="center"/>
        <w:rPr>
          <w:rFonts w:ascii="Times New Roman" w:hAnsi="Times New Roman" w:eastAsia="宋体" w:cs="Times New Roman"/>
          <w:b/>
          <w:sz w:val="48"/>
          <w:szCs w:val="48"/>
        </w:rPr>
      </w:pPr>
    </w:p>
    <w:p w14:paraId="0264BD5A">
      <w:pPr>
        <w:jc w:val="center"/>
        <w:rPr>
          <w:rFonts w:ascii="Times New Roman" w:hAnsi="Times New Roman" w:eastAsia="宋体" w:cs="Times New Roman"/>
          <w:b/>
          <w:sz w:val="48"/>
          <w:szCs w:val="48"/>
        </w:rPr>
      </w:pPr>
    </w:p>
    <w:p w14:paraId="4152E360">
      <w:pPr>
        <w:jc w:val="center"/>
        <w:rPr>
          <w:rFonts w:ascii="Times New Roman" w:hAnsi="Times New Roman" w:eastAsia="宋体" w:cs="Times New Roman"/>
          <w:b/>
          <w:sz w:val="48"/>
          <w:szCs w:val="48"/>
        </w:rPr>
      </w:pPr>
    </w:p>
    <w:p w14:paraId="6358FD98">
      <w:pPr>
        <w:pStyle w:val="16"/>
        <w:rPr>
          <w:rFonts w:ascii="Times New Roman" w:hAnsi="Times New Roman" w:eastAsia="宋体" w:cs="Times New Roman"/>
          <w:b/>
          <w:sz w:val="48"/>
          <w:szCs w:val="48"/>
        </w:rPr>
      </w:pPr>
    </w:p>
    <w:p w14:paraId="6475F3DA">
      <w:pPr>
        <w:rPr>
          <w:rFonts w:ascii="Times New Roman" w:hAnsi="Times New Roman" w:eastAsia="宋体" w:cs="Times New Roman"/>
        </w:rPr>
      </w:pPr>
    </w:p>
    <w:p w14:paraId="72C27156">
      <w:pPr>
        <w:jc w:val="center"/>
        <w:rPr>
          <w:rFonts w:ascii="Times New Roman" w:hAnsi="Times New Roman" w:eastAsia="宋体" w:cs="Times New Roman"/>
          <w:b/>
          <w:sz w:val="48"/>
          <w:szCs w:val="48"/>
        </w:rPr>
      </w:pPr>
    </w:p>
    <w:p w14:paraId="50021484">
      <w:pPr>
        <w:jc w:val="center"/>
        <w:rPr>
          <w:rFonts w:ascii="Times New Roman" w:hAnsi="Times New Roman" w:eastAsia="宋体" w:cs="Times New Roman"/>
          <w:b/>
          <w:sz w:val="48"/>
          <w:szCs w:val="48"/>
        </w:rPr>
      </w:pPr>
    </w:p>
    <w:p w14:paraId="0B99DAF9">
      <w:pPr>
        <w:jc w:val="center"/>
        <w:rPr>
          <w:rFonts w:ascii="Times New Roman" w:hAnsi="Times New Roman" w:eastAsia="宋体" w:cs="Times New Roman"/>
          <w:b/>
          <w:sz w:val="36"/>
          <w:szCs w:val="36"/>
        </w:rPr>
      </w:pPr>
    </w:p>
    <w:p w14:paraId="46F00CA7">
      <w:pPr>
        <w:jc w:val="center"/>
        <w:rPr>
          <w:rFonts w:ascii="Times New Roman" w:hAnsi="Times New Roman" w:eastAsia="宋体" w:cs="Times New Roman"/>
          <w:b/>
          <w:sz w:val="36"/>
          <w:szCs w:val="36"/>
        </w:rPr>
      </w:pPr>
    </w:p>
    <w:p w14:paraId="555D8627">
      <w:pPr>
        <w:jc w:val="center"/>
        <w:rPr>
          <w:rFonts w:ascii="Times New Roman" w:hAnsi="Times New Roman" w:eastAsia="宋体" w:cs="Times New Roman"/>
          <w:b/>
          <w:sz w:val="36"/>
          <w:szCs w:val="36"/>
        </w:rPr>
      </w:pPr>
    </w:p>
    <w:p w14:paraId="09925480">
      <w:pPr>
        <w:jc w:val="center"/>
        <w:rPr>
          <w:rFonts w:ascii="Times New Roman" w:hAnsi="Times New Roman" w:eastAsia="宋体" w:cs="Times New Roman"/>
          <w:b/>
          <w:sz w:val="36"/>
          <w:szCs w:val="36"/>
        </w:rPr>
      </w:pPr>
    </w:p>
    <w:p w14:paraId="5A9F98DB">
      <w:pPr>
        <w:jc w:val="center"/>
        <w:rPr>
          <w:rFonts w:ascii="Times New Roman" w:hAnsi="Times New Roman" w:eastAsia="宋体" w:cs="Times New Roman"/>
          <w:b/>
          <w:sz w:val="36"/>
          <w:szCs w:val="36"/>
        </w:rPr>
      </w:pPr>
    </w:p>
    <w:p w14:paraId="7F19476A">
      <w:pPr>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杭州市城市建设投资集团有限公司</w:t>
      </w:r>
    </w:p>
    <w:p w14:paraId="2AA457D3">
      <w:pPr>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杭州市安居集团有限公司</w:t>
      </w:r>
    </w:p>
    <w:p w14:paraId="4096FE1E">
      <w:pPr>
        <w:pStyle w:val="16"/>
        <w:rPr>
          <w:rFonts w:ascii="Times New Roman" w:hAnsi="Times New Roman" w:eastAsia="宋体" w:cs="Times New Roman"/>
        </w:rPr>
      </w:pPr>
    </w:p>
    <w:p w14:paraId="4FBA71B8"/>
    <w:p w14:paraId="0F02E5E7">
      <w:pPr>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二〇二五</w:t>
      </w:r>
      <w:r>
        <w:rPr>
          <w:rFonts w:ascii="Times New Roman" w:hAnsi="Times New Roman" w:eastAsia="宋体" w:cs="Times New Roman"/>
          <w:b/>
          <w:sz w:val="36"/>
          <w:szCs w:val="36"/>
        </w:rPr>
        <w:t>年</w:t>
      </w:r>
      <w:r>
        <w:rPr>
          <w:rFonts w:hint="eastAsia" w:ascii="Times New Roman" w:hAnsi="Times New Roman" w:eastAsia="宋体" w:cs="Times New Roman"/>
          <w:b/>
          <w:sz w:val="36"/>
          <w:szCs w:val="36"/>
        </w:rPr>
        <w:t>八</w:t>
      </w:r>
      <w:r>
        <w:rPr>
          <w:rFonts w:ascii="Times New Roman" w:hAnsi="Times New Roman" w:eastAsia="宋体" w:cs="Times New Roman"/>
          <w:b/>
          <w:sz w:val="36"/>
          <w:szCs w:val="36"/>
        </w:rPr>
        <w:t>月</w:t>
      </w:r>
    </w:p>
    <w:p w14:paraId="72B7DA2C">
      <w:pPr>
        <w:jc w:val="center"/>
        <w:rPr>
          <w:rFonts w:ascii="Times New Roman" w:hAnsi="Times New Roman" w:eastAsia="宋体" w:cs="Times New Roman"/>
        </w:rPr>
        <w:sectPr>
          <w:headerReference r:id="rId4" w:type="first"/>
          <w:headerReference r:id="rId3" w:type="default"/>
          <w:footerReference r:id="rId5" w:type="default"/>
          <w:pgSz w:w="11906" w:h="16838"/>
          <w:pgMar w:top="1440" w:right="1083" w:bottom="1440" w:left="1083" w:header="850" w:footer="850" w:gutter="0"/>
          <w:pgNumType w:fmt="numberInDash" w:start="1"/>
          <w:cols w:space="0" w:num="1"/>
        </w:sectPr>
      </w:pPr>
    </w:p>
    <w:p w14:paraId="5E29264B">
      <w:pPr>
        <w:jc w:val="center"/>
        <w:rPr>
          <w:rFonts w:ascii="Times New Roman" w:hAnsi="Times New Roman" w:eastAsia="宋体" w:cs="Times New Roman"/>
        </w:rPr>
      </w:pPr>
    </w:p>
    <w:p w14:paraId="4BEDD04E">
      <w:pPr>
        <w:rPr>
          <w:rFonts w:ascii="Times New Roman" w:hAnsi="Times New Roman" w:eastAsia="宋体" w:cs="Times New Roman"/>
          <w:color w:val="auto"/>
          <w:spacing w:val="-6"/>
          <w:sz w:val="36"/>
          <w:szCs w:val="36"/>
        </w:rPr>
      </w:pPr>
    </w:p>
    <w:p w14:paraId="1EAB5F63">
      <w:pPr>
        <w:pStyle w:val="36"/>
        <w:tabs>
          <w:tab w:val="left" w:pos="3839"/>
        </w:tabs>
        <w:spacing w:before="174" w:line="360" w:lineRule="auto"/>
        <w:ind w:right="175"/>
        <w:jc w:val="center"/>
        <w:rPr>
          <w:rFonts w:ascii="Times New Roman" w:hAnsi="Times New Roman" w:eastAsia="宋体" w:cs="Times New Roman"/>
          <w:sz w:val="36"/>
          <w:szCs w:val="36"/>
        </w:rPr>
      </w:pPr>
      <w:r>
        <w:rPr>
          <w:rFonts w:ascii="Times New Roman" w:hAnsi="Times New Roman" w:eastAsia="宋体" w:cs="Times New Roman"/>
          <w:sz w:val="36"/>
          <w:szCs w:val="36"/>
          <w:u w:val="single"/>
        </w:rPr>
        <w:t>（</w:t>
      </w:r>
      <w:r>
        <w:rPr>
          <w:rFonts w:hint="eastAsia" w:ascii="宋体" w:hAnsi="宋体" w:eastAsia="宋体" w:cs="宋体"/>
          <w:bCs/>
          <w:sz w:val="36"/>
          <w:szCs w:val="36"/>
          <w:u w:val="single"/>
          <w:lang w:eastAsia="zh-CN"/>
        </w:rPr>
        <w:t>临江公司2026年布袋净气室防腐工程施工</w:t>
      </w:r>
      <w:r>
        <w:rPr>
          <w:rFonts w:ascii="Times New Roman" w:hAnsi="Times New Roman" w:eastAsia="宋体" w:cs="Times New Roman"/>
          <w:sz w:val="36"/>
          <w:szCs w:val="36"/>
          <w:u w:val="single"/>
        </w:rPr>
        <w:t>）</w:t>
      </w:r>
    </w:p>
    <w:p w14:paraId="45F1E7FF">
      <w:pPr>
        <w:pStyle w:val="8"/>
        <w:spacing w:before="2"/>
        <w:ind w:left="0"/>
        <w:rPr>
          <w:rFonts w:eastAsia="宋体" w:cs="Times New Roman"/>
          <w:sz w:val="23"/>
          <w:szCs w:val="23"/>
        </w:rPr>
      </w:pPr>
    </w:p>
    <w:p w14:paraId="120572E8">
      <w:pPr>
        <w:kinsoku/>
        <w:topLinePunct/>
        <w:autoSpaceDE/>
        <w:autoSpaceDN/>
        <w:adjustRightInd/>
        <w:spacing w:line="480" w:lineRule="auto"/>
        <w:jc w:val="center"/>
        <w:rPr>
          <w:rFonts w:ascii="Times New Roman" w:hAnsi="Times New Roman" w:eastAsia="宋体" w:cs="Times New Roman"/>
          <w:color w:val="auto"/>
          <w:sz w:val="28"/>
          <w:szCs w:val="28"/>
        </w:rPr>
      </w:pPr>
      <w:r>
        <w:rPr>
          <w:rFonts w:ascii="Times New Roman" w:hAnsi="Times New Roman" w:eastAsia="宋体" w:cs="Times New Roman"/>
          <w:color w:val="auto"/>
          <w:spacing w:val="2"/>
          <w:sz w:val="28"/>
          <w:szCs w:val="28"/>
        </w:rPr>
        <w:t>(交易项目编号</w:t>
      </w:r>
      <w:r>
        <w:rPr>
          <w:rFonts w:ascii="Times New Roman" w:hAnsi="Times New Roman" w:eastAsia="宋体" w:cs="Times New Roman"/>
          <w:color w:val="auto"/>
          <w:spacing w:val="1"/>
          <w:sz w:val="28"/>
          <w:szCs w:val="28"/>
        </w:rPr>
        <w:t>：</w:t>
      </w:r>
      <w:r>
        <w:rPr>
          <w:rFonts w:hint="eastAsia" w:ascii="宋体" w:hAnsi="宋体" w:cs="宋体"/>
          <w:sz w:val="28"/>
          <w:szCs w:val="28"/>
          <w:u w:val="single"/>
          <w:lang w:val="zh-CN"/>
        </w:rPr>
        <w:t>NY-1gGJ2605015</w:t>
      </w:r>
      <w:r>
        <w:rPr>
          <w:rFonts w:ascii="Times New Roman" w:hAnsi="Times New Roman" w:eastAsia="宋体" w:cs="Times New Roman"/>
          <w:color w:val="auto"/>
          <w:spacing w:val="1"/>
          <w:sz w:val="28"/>
          <w:szCs w:val="28"/>
          <w:u w:val="single"/>
        </w:rPr>
        <w:t xml:space="preserve">  </w:t>
      </w:r>
      <w:r>
        <w:rPr>
          <w:rFonts w:ascii="Times New Roman" w:hAnsi="Times New Roman" w:eastAsia="宋体" w:cs="Times New Roman"/>
          <w:color w:val="auto"/>
          <w:spacing w:val="1"/>
          <w:sz w:val="28"/>
          <w:szCs w:val="28"/>
        </w:rPr>
        <w:t>)</w:t>
      </w:r>
    </w:p>
    <w:p w14:paraId="1BDAFC57">
      <w:pPr>
        <w:kinsoku/>
        <w:topLinePunct/>
        <w:rPr>
          <w:rFonts w:ascii="Times New Roman" w:hAnsi="Times New Roman" w:cs="Times New Roman"/>
          <w:color w:val="auto"/>
        </w:rPr>
      </w:pPr>
    </w:p>
    <w:p w14:paraId="52B07B6F">
      <w:pPr>
        <w:kinsoku/>
        <w:topLinePunct/>
        <w:spacing w:before="234" w:line="220" w:lineRule="auto"/>
        <w:jc w:val="center"/>
        <w:rPr>
          <w:rFonts w:ascii="Times New Roman" w:hAnsi="Times New Roman" w:eastAsia="宋体" w:cs="Times New Roman"/>
          <w:color w:val="auto"/>
          <w:spacing w:val="-6"/>
          <w:sz w:val="72"/>
          <w:szCs w:val="72"/>
        </w:rPr>
      </w:pPr>
      <w:r>
        <w:rPr>
          <w:rFonts w:ascii="Times New Roman" w:hAnsi="Times New Roman" w:eastAsia="宋体" w:cs="Times New Roman"/>
          <w:color w:val="auto"/>
          <w:spacing w:val="-6"/>
          <w:sz w:val="72"/>
          <w:szCs w:val="72"/>
        </w:rPr>
        <w:t>交易文件</w:t>
      </w:r>
    </w:p>
    <w:p w14:paraId="6A3C5F46">
      <w:pPr>
        <w:pStyle w:val="8"/>
        <w:spacing w:before="106"/>
        <w:ind w:left="3" w:right="4"/>
        <w:jc w:val="center"/>
        <w:rPr>
          <w:rFonts w:eastAsia="宋体" w:cs="Times New Roman"/>
          <w:sz w:val="44"/>
          <w:szCs w:val="44"/>
        </w:rPr>
      </w:pPr>
      <w:r>
        <w:rPr>
          <w:rFonts w:eastAsia="宋体" w:cs="Times New Roman"/>
          <w:sz w:val="44"/>
          <w:szCs w:val="44"/>
        </w:rPr>
        <w:t>（</w:t>
      </w:r>
      <w:r>
        <w:rPr>
          <w:rFonts w:hint="eastAsia" w:asciiTheme="minorEastAsia" w:hAnsiTheme="minorEastAsia" w:eastAsiaTheme="minorEastAsia" w:cstheme="minorEastAsia"/>
          <w:color w:val="auto"/>
          <w:spacing w:val="-6"/>
          <w:sz w:val="44"/>
          <w:szCs w:val="44"/>
          <w:lang w:val="zh-CN"/>
        </w:rPr>
        <w:t>公开竞标</w:t>
      </w:r>
      <w:r>
        <w:rPr>
          <w:rFonts w:eastAsia="宋体" w:cs="Times New Roman"/>
          <w:sz w:val="44"/>
          <w:szCs w:val="44"/>
        </w:rPr>
        <w:t>）</w:t>
      </w:r>
    </w:p>
    <w:p w14:paraId="3AD2A5FC">
      <w:pPr>
        <w:pStyle w:val="6"/>
        <w:kinsoku/>
        <w:wordWrap w:val="0"/>
        <w:topLinePunct/>
        <w:autoSpaceDE/>
        <w:autoSpaceDN/>
        <w:adjustRightInd/>
        <w:ind w:firstLine="604"/>
        <w:jc w:val="center"/>
        <w:rPr>
          <w:rFonts w:ascii="Times New Roman" w:hAnsi="Times New Roman" w:eastAsia="仿宋" w:cs="Times New Roman"/>
          <w:color w:val="auto"/>
          <w:spacing w:val="2"/>
          <w:sz w:val="30"/>
          <w:szCs w:val="30"/>
        </w:rPr>
      </w:pPr>
    </w:p>
    <w:p w14:paraId="3C90840F">
      <w:pPr>
        <w:kinsoku/>
        <w:wordWrap w:val="0"/>
        <w:topLinePunct/>
        <w:autoSpaceDE/>
        <w:autoSpaceDN/>
        <w:adjustRightInd/>
        <w:spacing w:line="331" w:lineRule="auto"/>
        <w:ind w:firstLine="420" w:firstLineChars="200"/>
        <w:rPr>
          <w:rFonts w:ascii="Times New Roman" w:hAnsi="Times New Roman" w:cs="Times New Roman"/>
          <w:color w:val="auto"/>
          <w:sz w:val="21"/>
        </w:rPr>
      </w:pPr>
    </w:p>
    <w:p w14:paraId="4BA867D8">
      <w:pPr>
        <w:kinsoku/>
        <w:wordWrap w:val="0"/>
        <w:topLinePunct/>
        <w:autoSpaceDE/>
        <w:autoSpaceDN/>
        <w:adjustRightInd/>
        <w:spacing w:line="246" w:lineRule="auto"/>
        <w:ind w:firstLine="420" w:firstLineChars="200"/>
        <w:rPr>
          <w:rFonts w:ascii="Times New Roman" w:hAnsi="Times New Roman" w:cs="Times New Roman"/>
          <w:color w:val="auto"/>
          <w:sz w:val="21"/>
        </w:rPr>
      </w:pPr>
    </w:p>
    <w:p w14:paraId="452665DF">
      <w:pPr>
        <w:kinsoku/>
        <w:wordWrap w:val="0"/>
        <w:topLinePunct/>
        <w:autoSpaceDE/>
        <w:autoSpaceDN/>
        <w:adjustRightInd/>
        <w:spacing w:line="241" w:lineRule="auto"/>
        <w:ind w:firstLine="420" w:firstLineChars="200"/>
        <w:rPr>
          <w:rFonts w:ascii="Times New Roman" w:hAnsi="Times New Roman" w:cs="Times New Roman"/>
          <w:color w:val="auto"/>
          <w:sz w:val="21"/>
        </w:rPr>
      </w:pPr>
    </w:p>
    <w:p w14:paraId="78986186">
      <w:pPr>
        <w:kinsoku/>
        <w:wordWrap w:val="0"/>
        <w:topLinePunct/>
        <w:autoSpaceDE/>
        <w:autoSpaceDN/>
        <w:adjustRightInd/>
        <w:spacing w:line="241" w:lineRule="auto"/>
        <w:ind w:firstLine="420" w:firstLineChars="200"/>
        <w:rPr>
          <w:rFonts w:ascii="Times New Roman" w:hAnsi="Times New Roman" w:cs="Times New Roman"/>
          <w:color w:val="auto"/>
          <w:sz w:val="21"/>
        </w:rPr>
      </w:pPr>
    </w:p>
    <w:p w14:paraId="2CF9E664">
      <w:pPr>
        <w:kinsoku/>
        <w:wordWrap w:val="0"/>
        <w:topLinePunct/>
        <w:autoSpaceDE/>
        <w:autoSpaceDN/>
        <w:adjustRightInd/>
        <w:spacing w:line="241" w:lineRule="auto"/>
        <w:ind w:firstLine="420" w:firstLineChars="200"/>
        <w:rPr>
          <w:rFonts w:ascii="Times New Roman" w:hAnsi="Times New Roman" w:cs="Times New Roman"/>
          <w:color w:val="auto"/>
          <w:sz w:val="21"/>
        </w:rPr>
      </w:pPr>
    </w:p>
    <w:p w14:paraId="1D1D34A3">
      <w:pPr>
        <w:kinsoku/>
        <w:wordWrap w:val="0"/>
        <w:topLinePunct/>
        <w:autoSpaceDE/>
        <w:autoSpaceDN/>
        <w:adjustRightInd/>
        <w:spacing w:line="241" w:lineRule="auto"/>
        <w:ind w:firstLine="420" w:firstLineChars="200"/>
        <w:rPr>
          <w:rFonts w:ascii="Times New Roman" w:hAnsi="Times New Roman" w:cs="Times New Roman"/>
          <w:color w:val="auto"/>
          <w:sz w:val="21"/>
        </w:rPr>
      </w:pPr>
    </w:p>
    <w:p w14:paraId="3C979C89">
      <w:pPr>
        <w:kinsoku/>
        <w:wordWrap w:val="0"/>
        <w:topLinePunct/>
        <w:autoSpaceDE/>
        <w:autoSpaceDN/>
        <w:adjustRightInd/>
        <w:spacing w:line="241" w:lineRule="auto"/>
        <w:ind w:firstLine="420" w:firstLineChars="200"/>
        <w:rPr>
          <w:rFonts w:ascii="Times New Roman" w:hAnsi="Times New Roman" w:cs="Times New Roman"/>
          <w:color w:val="auto"/>
          <w:sz w:val="21"/>
        </w:rPr>
      </w:pPr>
    </w:p>
    <w:p w14:paraId="03532D27">
      <w:pPr>
        <w:kinsoku/>
        <w:wordWrap w:val="0"/>
        <w:topLinePunct/>
        <w:autoSpaceDE/>
        <w:autoSpaceDN/>
        <w:adjustRightInd/>
        <w:spacing w:line="241" w:lineRule="auto"/>
        <w:ind w:firstLine="420" w:firstLineChars="200"/>
        <w:rPr>
          <w:rFonts w:ascii="Times New Roman" w:hAnsi="Times New Roman" w:cs="Times New Roman"/>
          <w:color w:val="auto"/>
          <w:sz w:val="21"/>
        </w:rPr>
      </w:pPr>
    </w:p>
    <w:p w14:paraId="27FB6892">
      <w:pPr>
        <w:kinsoku/>
        <w:wordWrap w:val="0"/>
        <w:topLinePunct/>
        <w:autoSpaceDE/>
        <w:autoSpaceDN/>
        <w:adjustRightInd/>
        <w:spacing w:line="241" w:lineRule="auto"/>
        <w:ind w:firstLine="420" w:firstLineChars="200"/>
        <w:rPr>
          <w:rFonts w:ascii="Times New Roman" w:hAnsi="Times New Roman" w:cs="Times New Roman"/>
          <w:color w:val="auto"/>
          <w:sz w:val="21"/>
        </w:rPr>
      </w:pPr>
    </w:p>
    <w:p w14:paraId="61012A37">
      <w:pPr>
        <w:kinsoku/>
        <w:wordWrap w:val="0"/>
        <w:topLinePunct/>
        <w:autoSpaceDE/>
        <w:autoSpaceDN/>
        <w:adjustRightInd/>
        <w:spacing w:line="241" w:lineRule="auto"/>
        <w:ind w:firstLine="640" w:firstLineChars="200"/>
        <w:rPr>
          <w:rFonts w:ascii="Times New Roman" w:hAnsi="Times New Roman" w:cs="Times New Roman"/>
          <w:color w:val="auto"/>
          <w:sz w:val="32"/>
          <w:szCs w:val="32"/>
        </w:rPr>
      </w:pPr>
    </w:p>
    <w:p w14:paraId="0FD56D8B">
      <w:pPr>
        <w:kinsoku/>
        <w:topLinePunct/>
        <w:rPr>
          <w:rFonts w:ascii="Times New Roman" w:hAnsi="Times New Roman" w:cs="Times New Roman"/>
          <w:color w:val="auto"/>
        </w:rPr>
      </w:pPr>
    </w:p>
    <w:p w14:paraId="485411D4">
      <w:pPr>
        <w:kinsoku/>
        <w:wordWrap w:val="0"/>
        <w:topLinePunct/>
        <w:autoSpaceDE/>
        <w:autoSpaceDN/>
        <w:adjustRightInd/>
        <w:spacing w:before="98" w:line="221" w:lineRule="auto"/>
        <w:jc w:val="center"/>
        <w:rPr>
          <w:rFonts w:ascii="Times New Roman" w:hAnsi="Times New Roman" w:eastAsia="仿宋" w:cs="Times New Roman"/>
          <w:color w:val="auto"/>
          <w:spacing w:val="-10"/>
          <w:sz w:val="32"/>
          <w:szCs w:val="32"/>
        </w:rPr>
      </w:pPr>
    </w:p>
    <w:p w14:paraId="5E9A200C">
      <w:pPr>
        <w:kinsoku/>
        <w:wordWrap w:val="0"/>
        <w:topLinePunct/>
        <w:autoSpaceDE/>
        <w:autoSpaceDN/>
        <w:adjustRightInd/>
        <w:spacing w:before="98" w:line="221" w:lineRule="auto"/>
        <w:jc w:val="center"/>
        <w:rPr>
          <w:rFonts w:ascii="Times New Roman" w:hAnsi="Times New Roman" w:eastAsia="宋体" w:cs="Times New Roman"/>
          <w:color w:val="auto"/>
          <w:sz w:val="32"/>
          <w:szCs w:val="32"/>
        </w:rPr>
      </w:pPr>
      <w:r>
        <w:rPr>
          <w:rFonts w:ascii="Times New Roman" w:hAnsi="Times New Roman" w:eastAsia="宋体" w:cs="Times New Roman"/>
          <w:color w:val="auto"/>
          <w:spacing w:val="-10"/>
          <w:sz w:val="32"/>
          <w:szCs w:val="32"/>
        </w:rPr>
        <w:t>发包人：</w:t>
      </w:r>
      <w:r>
        <w:rPr>
          <w:rFonts w:hint="eastAsia" w:ascii="宋体" w:hAnsi="宋体" w:eastAsia="宋体"/>
          <w:sz w:val="32"/>
          <w:szCs w:val="32"/>
          <w:u w:val="single"/>
          <w:lang w:eastAsia="zh-CN"/>
        </w:rPr>
        <w:t>杭州临江环境能源有限公司</w:t>
      </w:r>
      <w:r>
        <w:rPr>
          <w:rFonts w:ascii="Times New Roman" w:hAnsi="Times New Roman" w:eastAsia="宋体" w:cs="Times New Roman"/>
          <w:color w:val="auto"/>
          <w:spacing w:val="-5"/>
          <w:sz w:val="32"/>
          <w:szCs w:val="32"/>
          <w:u w:val="single"/>
        </w:rPr>
        <w:t xml:space="preserve">  </w:t>
      </w:r>
      <w:r>
        <w:rPr>
          <w:rFonts w:ascii="Times New Roman" w:hAnsi="Times New Roman" w:eastAsia="宋体" w:cs="Times New Roman"/>
          <w:color w:val="auto"/>
          <w:spacing w:val="-5"/>
          <w:sz w:val="32"/>
          <w:szCs w:val="32"/>
        </w:rPr>
        <w:t>(单位盖章)</w:t>
      </w:r>
    </w:p>
    <w:p w14:paraId="6E98E868">
      <w:pPr>
        <w:kinsoku/>
        <w:wordWrap w:val="0"/>
        <w:topLinePunct/>
        <w:autoSpaceDE/>
        <w:autoSpaceDN/>
        <w:adjustRightInd/>
        <w:spacing w:before="224" w:line="221" w:lineRule="auto"/>
        <w:jc w:val="center"/>
        <w:rPr>
          <w:rFonts w:ascii="Times New Roman" w:hAnsi="Times New Roman" w:eastAsia="宋体" w:cs="Times New Roman"/>
          <w:color w:val="auto"/>
          <w:sz w:val="32"/>
          <w:szCs w:val="32"/>
        </w:rPr>
      </w:pPr>
      <w:r>
        <w:rPr>
          <w:rFonts w:ascii="Times New Roman" w:hAnsi="Times New Roman" w:eastAsia="宋体" w:cs="Times New Roman"/>
          <w:color w:val="auto"/>
          <w:spacing w:val="-10"/>
          <w:sz w:val="32"/>
          <w:szCs w:val="32"/>
        </w:rPr>
        <w:t>代理机构</w:t>
      </w:r>
      <w:r>
        <w:rPr>
          <w:rFonts w:ascii="Times New Roman" w:hAnsi="Times New Roman" w:eastAsia="宋体" w:cs="Times New Roman"/>
          <w:color w:val="auto"/>
          <w:spacing w:val="-9"/>
          <w:sz w:val="32"/>
          <w:szCs w:val="32"/>
        </w:rPr>
        <w:t>：</w:t>
      </w:r>
      <w:r>
        <w:rPr>
          <w:rFonts w:ascii="Times New Roman" w:hAnsi="Times New Roman" w:eastAsia="宋体" w:cs="Times New Roman"/>
          <w:color w:val="auto"/>
          <w:spacing w:val="-5"/>
          <w:sz w:val="32"/>
          <w:szCs w:val="32"/>
          <w:u w:val="single"/>
        </w:rPr>
        <w:t xml:space="preserve">  </w:t>
      </w:r>
      <w:r>
        <w:rPr>
          <w:rFonts w:hint="eastAsia" w:ascii="宋体" w:hAnsi="宋体" w:eastAsia="宋体"/>
          <w:sz w:val="32"/>
          <w:szCs w:val="32"/>
          <w:u w:val="single"/>
          <w:lang w:eastAsia="zh-CN"/>
        </w:rPr>
        <w:t>浙江科佳工程咨询有限公司</w:t>
      </w:r>
      <w:r>
        <w:rPr>
          <w:rFonts w:ascii="Times New Roman" w:hAnsi="Times New Roman" w:eastAsia="宋体" w:cs="Times New Roman"/>
          <w:color w:val="auto"/>
          <w:spacing w:val="-5"/>
          <w:sz w:val="32"/>
          <w:szCs w:val="32"/>
          <w:u w:val="single"/>
        </w:rPr>
        <w:t xml:space="preserve">  </w:t>
      </w:r>
      <w:r>
        <w:rPr>
          <w:rFonts w:ascii="Times New Roman" w:hAnsi="Times New Roman" w:eastAsia="宋体" w:cs="Times New Roman"/>
          <w:color w:val="auto"/>
          <w:spacing w:val="-5"/>
          <w:sz w:val="32"/>
          <w:szCs w:val="32"/>
        </w:rPr>
        <w:t>(单位盖章)</w:t>
      </w:r>
    </w:p>
    <w:p w14:paraId="468C29FD">
      <w:pPr>
        <w:kinsoku/>
        <w:wordWrap w:val="0"/>
        <w:topLinePunct/>
        <w:autoSpaceDE/>
        <w:autoSpaceDN/>
        <w:adjustRightInd/>
        <w:spacing w:line="242" w:lineRule="auto"/>
        <w:rPr>
          <w:rFonts w:ascii="Times New Roman" w:hAnsi="Times New Roman" w:eastAsia="宋体" w:cs="Times New Roman"/>
          <w:color w:val="auto"/>
          <w:sz w:val="32"/>
          <w:szCs w:val="32"/>
        </w:rPr>
      </w:pPr>
    </w:p>
    <w:p w14:paraId="39F10776">
      <w:pPr>
        <w:pStyle w:val="8"/>
        <w:spacing w:before="14" w:line="360" w:lineRule="auto"/>
        <w:ind w:left="0" w:right="175"/>
        <w:jc w:val="center"/>
        <w:rPr>
          <w:rFonts w:eastAsia="宋体" w:cs="Times New Roman"/>
          <w:sz w:val="28"/>
          <w:szCs w:val="28"/>
          <w:u w:val="single"/>
        </w:rPr>
      </w:pPr>
    </w:p>
    <w:p w14:paraId="3703E685">
      <w:pPr>
        <w:pStyle w:val="8"/>
        <w:spacing w:before="14" w:line="360" w:lineRule="auto"/>
        <w:ind w:left="0" w:right="175"/>
        <w:jc w:val="center"/>
        <w:rPr>
          <w:rFonts w:hint="eastAsia" w:eastAsia="宋体" w:cs="Times New Roman"/>
          <w:sz w:val="28"/>
          <w:szCs w:val="28"/>
          <w:lang w:eastAsia="zh-CN"/>
        </w:rPr>
      </w:pPr>
      <w:r>
        <w:rPr>
          <w:rFonts w:hint="eastAsia" w:ascii="宋体" w:hAnsi="宋体" w:eastAsia="宋体"/>
          <w:sz w:val="28"/>
          <w:szCs w:val="28"/>
          <w:lang w:eastAsia="zh-CN"/>
        </w:rPr>
        <w:t>2026年06月3日</w:t>
      </w:r>
    </w:p>
    <w:p w14:paraId="52B4B609">
      <w:pPr>
        <w:pStyle w:val="8"/>
        <w:spacing w:before="14" w:line="360" w:lineRule="auto"/>
        <w:ind w:left="0" w:right="175"/>
        <w:jc w:val="center"/>
        <w:rPr>
          <w:rFonts w:eastAsia="宋体" w:cs="Times New Roman"/>
          <w:sz w:val="28"/>
          <w:szCs w:val="28"/>
        </w:rPr>
      </w:pPr>
    </w:p>
    <w:p w14:paraId="001A2C8A">
      <w:pPr>
        <w:kinsoku/>
        <w:wordWrap w:val="0"/>
        <w:topLinePunct/>
        <w:autoSpaceDE/>
        <w:autoSpaceDN/>
        <w:adjustRightInd/>
        <w:ind w:firstLine="480" w:firstLineChars="200"/>
        <w:rPr>
          <w:rFonts w:ascii="Times New Roman" w:hAnsi="Times New Roman" w:cs="Times New Roman"/>
          <w:color w:val="auto"/>
        </w:rPr>
        <w:sectPr>
          <w:footerReference r:id="rId6" w:type="default"/>
          <w:pgSz w:w="11906" w:h="16838"/>
          <w:pgMar w:top="1440" w:right="1083" w:bottom="1440" w:left="1083" w:header="850" w:footer="850" w:gutter="0"/>
          <w:pgNumType w:fmt="numberInDash" w:start="1"/>
          <w:cols w:space="0" w:num="1"/>
          <w:docGrid w:linePitch="326" w:charSpace="0"/>
        </w:sectPr>
      </w:pPr>
    </w:p>
    <w:p w14:paraId="54AEB266">
      <w:pPr>
        <w:kinsoku/>
        <w:wordWrap w:val="0"/>
        <w:topLinePunct/>
        <w:autoSpaceDE/>
        <w:autoSpaceDN/>
        <w:adjustRightInd/>
        <w:spacing w:line="264" w:lineRule="auto"/>
        <w:ind w:firstLine="420" w:firstLineChars="200"/>
        <w:rPr>
          <w:rFonts w:ascii="Times New Roman" w:hAnsi="Times New Roman" w:cs="Times New Roman"/>
          <w:color w:val="auto"/>
          <w:sz w:val="21"/>
        </w:rPr>
      </w:pPr>
    </w:p>
    <w:p w14:paraId="2B4B0A8E">
      <w:pPr>
        <w:kinsoku/>
        <w:wordWrap w:val="0"/>
        <w:topLinePunct/>
        <w:autoSpaceDE/>
        <w:autoSpaceDN/>
        <w:adjustRightInd/>
        <w:spacing w:line="264" w:lineRule="auto"/>
        <w:ind w:firstLine="420" w:firstLineChars="200"/>
        <w:rPr>
          <w:rFonts w:ascii="Times New Roman" w:hAnsi="Times New Roman" w:cs="Times New Roman"/>
          <w:color w:val="auto"/>
          <w:sz w:val="21"/>
        </w:rPr>
      </w:pPr>
    </w:p>
    <w:p w14:paraId="63E4F012">
      <w:pPr>
        <w:pStyle w:val="2"/>
        <w:kinsoku/>
        <w:topLinePunct/>
        <w:rPr>
          <w:rFonts w:ascii="Times New Roman" w:hAnsi="Times New Roman" w:cs="Times New Roman"/>
          <w:color w:val="auto"/>
          <w:sz w:val="46"/>
          <w:szCs w:val="46"/>
        </w:rPr>
      </w:pPr>
      <w:r>
        <w:rPr>
          <w:rFonts w:ascii="Times New Roman" w:hAnsi="Times New Roman" w:cs="Times New Roman"/>
          <w:color w:val="auto"/>
          <w:spacing w:val="-15"/>
          <w:sz w:val="46"/>
          <w:szCs w:val="46"/>
          <w14:textOutline w14:w="8496" w14:cap="flat" w14:cmpd="sng" w14:algn="ctr">
            <w14:solidFill>
              <w14:srgbClr w14:val="000000"/>
            </w14:solidFill>
            <w14:prstDash w14:val="solid"/>
            <w14:miter w14:val="0"/>
          </w14:textOutline>
        </w:rPr>
        <w:t>目</w:t>
      </w:r>
      <w:r>
        <w:rPr>
          <w:rFonts w:ascii="Times New Roman" w:hAnsi="Times New Roman" w:cs="Times New Roman"/>
          <w:color w:val="auto"/>
          <w:spacing w:val="-11"/>
          <w:sz w:val="46"/>
          <w:szCs w:val="46"/>
        </w:rPr>
        <w:t xml:space="preserve">  </w:t>
      </w:r>
      <w:r>
        <w:rPr>
          <w:rFonts w:ascii="Times New Roman" w:hAnsi="Times New Roman" w:cs="Times New Roman"/>
          <w:color w:val="auto"/>
          <w:spacing w:val="-11"/>
          <w:sz w:val="46"/>
          <w:szCs w:val="46"/>
          <w14:textOutline w14:w="8496" w14:cap="flat" w14:cmpd="sng" w14:algn="ctr">
            <w14:solidFill>
              <w14:srgbClr w14:val="000000"/>
            </w14:solidFill>
            <w14:prstDash w14:val="solid"/>
            <w14:miter w14:val="0"/>
          </w14:textOutline>
        </w:rPr>
        <w:t>录</w:t>
      </w:r>
    </w:p>
    <w:p w14:paraId="5BEFED09">
      <w:pPr>
        <w:kinsoku/>
        <w:wordWrap w:val="0"/>
        <w:topLinePunct/>
        <w:autoSpaceDE/>
        <w:autoSpaceDN/>
        <w:adjustRightInd/>
        <w:spacing w:line="330" w:lineRule="auto"/>
        <w:ind w:firstLine="420" w:firstLineChars="200"/>
        <w:rPr>
          <w:rFonts w:ascii="Times New Roman" w:hAnsi="Times New Roman" w:cs="Times New Roman"/>
          <w:color w:val="auto"/>
          <w:sz w:val="21"/>
        </w:rPr>
      </w:pPr>
    </w:p>
    <w:p w14:paraId="514972BC">
      <w:pPr>
        <w:kinsoku/>
        <w:wordWrap w:val="0"/>
        <w:topLinePunct/>
        <w:autoSpaceDE/>
        <w:autoSpaceDN/>
        <w:adjustRightInd/>
        <w:snapToGrid/>
        <w:spacing w:line="360" w:lineRule="auto"/>
        <w:ind w:firstLine="635" w:firstLineChars="200"/>
        <w:rPr>
          <w:rFonts w:ascii="Times New Roman" w:hAnsi="Times New Roman" w:eastAsia="仿宋_GB2312" w:cs="Times New Roman"/>
          <w:b/>
          <w:bCs/>
          <w:color w:val="auto"/>
          <w:spacing w:val="-2"/>
          <w:position w:val="15"/>
          <w:sz w:val="32"/>
          <w:szCs w:val="32"/>
        </w:rPr>
      </w:pPr>
    </w:p>
    <w:p w14:paraId="5FF680ED">
      <w:pPr>
        <w:kinsoku/>
        <w:topLinePunct/>
        <w:spacing w:line="360" w:lineRule="auto"/>
        <w:ind w:firstLine="1280" w:firstLineChars="400"/>
        <w:rPr>
          <w:rFonts w:ascii="Times New Roman" w:hAnsi="Times New Roman" w:eastAsia="宋体" w:cs="Times New Roman"/>
          <w:color w:val="auto"/>
          <w:sz w:val="32"/>
          <w:szCs w:val="32"/>
        </w:rPr>
      </w:pPr>
      <w:r>
        <w:rPr>
          <w:rFonts w:ascii="Times New Roman" w:hAnsi="Times New Roman" w:cs="Times New Roman"/>
          <w:color w:val="auto"/>
          <w:sz w:val="32"/>
          <w:szCs w:val="32"/>
        </w:rPr>
        <w:t>第一</w:t>
      </w:r>
      <w:r>
        <w:rPr>
          <w:rFonts w:ascii="Times New Roman" w:hAnsi="Times New Roman" w:eastAsia="宋体" w:cs="Times New Roman"/>
          <w:color w:val="auto"/>
          <w:sz w:val="32"/>
          <w:szCs w:val="32"/>
        </w:rPr>
        <w:t>章</w:t>
      </w:r>
      <w:r>
        <w:rPr>
          <w:rFonts w:ascii="Times New Roman" w:hAnsi="Times New Roman" w:cs="Times New Roman"/>
          <w:color w:val="auto"/>
          <w:sz w:val="32"/>
          <w:szCs w:val="32"/>
        </w:rPr>
        <w:t xml:space="preserve">      </w:t>
      </w:r>
      <w:r>
        <w:rPr>
          <w:rFonts w:ascii="Times New Roman" w:hAnsi="Times New Roman" w:eastAsia="宋体" w:cs="Times New Roman"/>
          <w:color w:val="auto"/>
          <w:sz w:val="32"/>
          <w:szCs w:val="32"/>
        </w:rPr>
        <w:t>交易公告</w:t>
      </w:r>
    </w:p>
    <w:p w14:paraId="1F3EE2AA">
      <w:pPr>
        <w:kinsoku/>
        <w:topLinePunct/>
        <w:spacing w:line="360" w:lineRule="auto"/>
        <w:ind w:firstLine="1280" w:firstLineChars="400"/>
        <w:rPr>
          <w:rFonts w:ascii="Times New Roman" w:hAnsi="Times New Roman" w:cs="Times New Roman"/>
          <w:color w:val="auto"/>
          <w:sz w:val="32"/>
          <w:szCs w:val="32"/>
        </w:rPr>
      </w:pPr>
      <w:r>
        <w:rPr>
          <w:rFonts w:ascii="Times New Roman" w:hAnsi="Times New Roman" w:cs="Times New Roman"/>
          <w:color w:val="auto"/>
          <w:sz w:val="32"/>
          <w:szCs w:val="32"/>
        </w:rPr>
        <w:t>第二</w:t>
      </w:r>
      <w:r>
        <w:rPr>
          <w:rFonts w:ascii="Times New Roman" w:hAnsi="Times New Roman" w:eastAsia="宋体" w:cs="Times New Roman"/>
          <w:color w:val="auto"/>
          <w:sz w:val="32"/>
          <w:szCs w:val="32"/>
        </w:rPr>
        <w:t>章</w:t>
      </w:r>
      <w:r>
        <w:rPr>
          <w:rFonts w:ascii="Times New Roman" w:hAnsi="Times New Roman" w:cs="Times New Roman"/>
          <w:color w:val="auto"/>
          <w:sz w:val="32"/>
          <w:szCs w:val="32"/>
        </w:rPr>
        <w:t xml:space="preserve">      </w:t>
      </w:r>
      <w:r>
        <w:rPr>
          <w:rFonts w:ascii="Times New Roman" w:hAnsi="Times New Roman" w:eastAsia="宋体" w:cs="Times New Roman"/>
          <w:color w:val="auto"/>
          <w:sz w:val="32"/>
          <w:szCs w:val="32"/>
        </w:rPr>
        <w:t>交易</w:t>
      </w:r>
      <w:r>
        <w:rPr>
          <w:rFonts w:ascii="Times New Roman" w:hAnsi="Times New Roman" w:cs="Times New Roman"/>
          <w:color w:val="auto"/>
          <w:sz w:val="32"/>
          <w:szCs w:val="32"/>
        </w:rPr>
        <w:t>须知</w:t>
      </w:r>
    </w:p>
    <w:p w14:paraId="418E75C6">
      <w:pPr>
        <w:kinsoku/>
        <w:topLinePunct/>
        <w:spacing w:line="360" w:lineRule="auto"/>
        <w:ind w:firstLine="1280" w:firstLineChars="400"/>
        <w:rPr>
          <w:rFonts w:ascii="Times New Roman" w:hAnsi="Times New Roman" w:cs="Times New Roman"/>
          <w:color w:val="auto"/>
          <w:sz w:val="32"/>
          <w:szCs w:val="32"/>
        </w:rPr>
      </w:pPr>
      <w:r>
        <w:rPr>
          <w:rFonts w:ascii="Times New Roman" w:hAnsi="Times New Roman" w:cs="Times New Roman"/>
          <w:color w:val="auto"/>
          <w:sz w:val="32"/>
          <w:szCs w:val="32"/>
        </w:rPr>
        <w:t>第三</w:t>
      </w:r>
      <w:r>
        <w:rPr>
          <w:rFonts w:ascii="Times New Roman" w:hAnsi="Times New Roman" w:eastAsia="宋体" w:cs="Times New Roman"/>
          <w:color w:val="auto"/>
          <w:sz w:val="32"/>
          <w:szCs w:val="32"/>
        </w:rPr>
        <w:t>章</w:t>
      </w:r>
      <w:r>
        <w:rPr>
          <w:rFonts w:ascii="Times New Roman" w:hAnsi="Times New Roman" w:cs="Times New Roman"/>
          <w:color w:val="auto"/>
          <w:sz w:val="32"/>
          <w:szCs w:val="32"/>
        </w:rPr>
        <w:t xml:space="preserve">      评审办法</w:t>
      </w:r>
    </w:p>
    <w:p w14:paraId="4D64FF01">
      <w:pPr>
        <w:kinsoku/>
        <w:topLinePunct/>
        <w:spacing w:line="360" w:lineRule="auto"/>
        <w:ind w:firstLine="1280" w:firstLineChars="400"/>
        <w:rPr>
          <w:rFonts w:ascii="Times New Roman" w:hAnsi="Times New Roman" w:eastAsia="宋体" w:cs="Times New Roman"/>
          <w:color w:val="auto"/>
          <w:sz w:val="32"/>
          <w:szCs w:val="32"/>
        </w:rPr>
      </w:pPr>
      <w:r>
        <w:rPr>
          <w:rFonts w:ascii="Times New Roman" w:hAnsi="Times New Roman" w:cs="Times New Roman"/>
          <w:color w:val="auto"/>
          <w:sz w:val="32"/>
          <w:szCs w:val="32"/>
        </w:rPr>
        <w:t>第四</w:t>
      </w:r>
      <w:r>
        <w:rPr>
          <w:rFonts w:ascii="Times New Roman" w:hAnsi="Times New Roman" w:eastAsia="宋体" w:cs="Times New Roman"/>
          <w:color w:val="auto"/>
          <w:sz w:val="32"/>
          <w:szCs w:val="32"/>
        </w:rPr>
        <w:t>章</w:t>
      </w:r>
      <w:r>
        <w:rPr>
          <w:rFonts w:ascii="Times New Roman" w:hAnsi="Times New Roman" w:cs="Times New Roman"/>
          <w:color w:val="auto"/>
          <w:sz w:val="32"/>
          <w:szCs w:val="32"/>
        </w:rPr>
        <w:t xml:space="preserve">      合同</w:t>
      </w:r>
      <w:r>
        <w:rPr>
          <w:rFonts w:ascii="Times New Roman" w:hAnsi="Times New Roman" w:eastAsia="宋体" w:cs="Times New Roman"/>
          <w:color w:val="auto"/>
          <w:sz w:val="32"/>
          <w:szCs w:val="32"/>
        </w:rPr>
        <w:t>条款及格式</w:t>
      </w:r>
    </w:p>
    <w:p w14:paraId="7A32A6D8">
      <w:pPr>
        <w:kinsoku/>
        <w:topLinePunct/>
        <w:spacing w:line="360" w:lineRule="auto"/>
        <w:ind w:firstLine="1280" w:firstLineChars="400"/>
        <w:rPr>
          <w:rFonts w:ascii="Times New Roman" w:hAnsi="Times New Roman" w:eastAsia="宋体" w:cs="Times New Roman"/>
          <w:color w:val="auto"/>
          <w:sz w:val="32"/>
          <w:szCs w:val="32"/>
        </w:rPr>
      </w:pPr>
      <w:r>
        <w:rPr>
          <w:rFonts w:ascii="Times New Roman" w:hAnsi="Times New Roman" w:cs="Times New Roman"/>
          <w:color w:val="auto"/>
          <w:sz w:val="32"/>
          <w:szCs w:val="32"/>
        </w:rPr>
        <w:t>第五</w:t>
      </w:r>
      <w:r>
        <w:rPr>
          <w:rFonts w:ascii="Times New Roman" w:hAnsi="Times New Roman" w:eastAsia="宋体" w:cs="Times New Roman"/>
          <w:color w:val="auto"/>
          <w:sz w:val="32"/>
          <w:szCs w:val="32"/>
        </w:rPr>
        <w:t>章</w:t>
      </w:r>
      <w:r>
        <w:rPr>
          <w:rFonts w:ascii="Times New Roman" w:hAnsi="Times New Roman" w:cs="Times New Roman"/>
          <w:color w:val="auto"/>
          <w:sz w:val="32"/>
          <w:szCs w:val="32"/>
        </w:rPr>
        <w:t xml:space="preserve">      工程量清单编制</w:t>
      </w:r>
    </w:p>
    <w:p w14:paraId="5D600597">
      <w:pPr>
        <w:kinsoku/>
        <w:topLinePunct/>
        <w:spacing w:line="360" w:lineRule="auto"/>
        <w:ind w:firstLine="1280" w:firstLineChars="400"/>
        <w:rPr>
          <w:rFonts w:ascii="Times New Roman" w:hAnsi="Times New Roman" w:cs="Times New Roman"/>
          <w:color w:val="auto"/>
          <w:sz w:val="32"/>
          <w:szCs w:val="32"/>
        </w:rPr>
      </w:pPr>
      <w:r>
        <w:rPr>
          <w:rFonts w:ascii="Times New Roman" w:hAnsi="Times New Roman" w:cs="Times New Roman"/>
          <w:color w:val="auto"/>
          <w:sz w:val="32"/>
          <w:szCs w:val="32"/>
        </w:rPr>
        <w:t>第六</w:t>
      </w:r>
      <w:r>
        <w:rPr>
          <w:rFonts w:ascii="Times New Roman" w:hAnsi="Times New Roman" w:eastAsia="宋体" w:cs="Times New Roman"/>
          <w:color w:val="auto"/>
          <w:sz w:val="32"/>
          <w:szCs w:val="32"/>
        </w:rPr>
        <w:t>章</w:t>
      </w:r>
      <w:r>
        <w:rPr>
          <w:rFonts w:ascii="Times New Roman" w:hAnsi="Times New Roman" w:cs="Times New Roman"/>
          <w:color w:val="auto"/>
          <w:sz w:val="32"/>
          <w:szCs w:val="32"/>
        </w:rPr>
        <w:t xml:space="preserve">      图纸</w:t>
      </w:r>
    </w:p>
    <w:p w14:paraId="5ADBE307">
      <w:pPr>
        <w:kinsoku/>
        <w:topLinePunct/>
        <w:spacing w:line="360" w:lineRule="auto"/>
        <w:ind w:firstLine="1280" w:firstLineChars="400"/>
        <w:rPr>
          <w:rFonts w:ascii="Times New Roman" w:hAnsi="Times New Roman" w:cs="Times New Roman"/>
          <w:color w:val="auto"/>
          <w:sz w:val="32"/>
          <w:szCs w:val="32"/>
        </w:rPr>
      </w:pPr>
      <w:r>
        <w:rPr>
          <w:rFonts w:ascii="Times New Roman" w:hAnsi="Times New Roman" w:eastAsia="宋体" w:cs="Times New Roman"/>
          <w:color w:val="auto"/>
          <w:sz w:val="32"/>
          <w:szCs w:val="32"/>
        </w:rPr>
        <w:t>第七章</w:t>
      </w:r>
      <w:r>
        <w:rPr>
          <w:rFonts w:hint="eastAsia" w:ascii="Times New Roman" w:hAnsi="Times New Roman" w:eastAsia="宋体" w:cs="Times New Roman"/>
          <w:color w:val="auto"/>
          <w:sz w:val="32"/>
          <w:szCs w:val="32"/>
        </w:rPr>
        <w:t xml:space="preserve">      </w:t>
      </w:r>
      <w:r>
        <w:rPr>
          <w:rFonts w:ascii="Times New Roman" w:hAnsi="Times New Roman" w:cs="Times New Roman"/>
          <w:color w:val="auto"/>
          <w:sz w:val="32"/>
          <w:szCs w:val="32"/>
        </w:rPr>
        <w:t>技术标准和要求</w:t>
      </w:r>
    </w:p>
    <w:p w14:paraId="5D90268F">
      <w:pPr>
        <w:kinsoku/>
        <w:topLinePunct/>
        <w:spacing w:line="360" w:lineRule="auto"/>
        <w:ind w:firstLine="1280" w:firstLineChars="400"/>
        <w:rPr>
          <w:rFonts w:ascii="Times New Roman" w:hAnsi="Times New Roman" w:cs="Times New Roman"/>
          <w:color w:val="auto"/>
          <w:sz w:val="32"/>
          <w:szCs w:val="32"/>
        </w:rPr>
      </w:pPr>
      <w:r>
        <w:rPr>
          <w:rFonts w:ascii="Times New Roman" w:hAnsi="Times New Roman" w:eastAsia="宋体" w:cs="Times New Roman"/>
          <w:color w:val="auto"/>
          <w:sz w:val="32"/>
          <w:szCs w:val="32"/>
        </w:rPr>
        <w:t>第八章      响应文件</w:t>
      </w:r>
      <w:r>
        <w:rPr>
          <w:rFonts w:ascii="Times New Roman" w:hAnsi="Times New Roman" w:cs="Times New Roman"/>
          <w:color w:val="auto"/>
          <w:sz w:val="32"/>
          <w:szCs w:val="32"/>
        </w:rPr>
        <w:t>格式</w:t>
      </w:r>
    </w:p>
    <w:p w14:paraId="3A24E59A">
      <w:pPr>
        <w:kinsoku/>
        <w:wordWrap w:val="0"/>
        <w:topLinePunct/>
        <w:autoSpaceDE/>
        <w:autoSpaceDN/>
        <w:adjustRightInd/>
        <w:snapToGrid/>
        <w:jc w:val="center"/>
        <w:rPr>
          <w:rFonts w:ascii="Times New Roman" w:hAnsi="Times New Roman" w:eastAsia="黑体" w:cs="Times New Roman"/>
          <w:color w:val="auto"/>
          <w:spacing w:val="2"/>
          <w:sz w:val="44"/>
          <w:szCs w:val="44"/>
          <w14:textOutline w14:w="8496" w14:cap="flat" w14:cmpd="sng" w14:algn="ctr">
            <w14:solidFill>
              <w14:srgbClr w14:val="000000"/>
            </w14:solidFill>
            <w14:prstDash w14:val="solid"/>
            <w14:miter w14:val="0"/>
          </w14:textOutline>
        </w:rPr>
        <w:sectPr>
          <w:headerReference r:id="rId7" w:type="default"/>
          <w:footerReference r:id="rId8" w:type="default"/>
          <w:pgSz w:w="11906" w:h="16838"/>
          <w:pgMar w:top="1440" w:right="1083" w:bottom="1440" w:left="1083" w:header="850" w:footer="850" w:gutter="0"/>
          <w:pgNumType w:fmt="numberInDash" w:start="1"/>
          <w:cols w:space="0" w:num="1"/>
        </w:sectPr>
      </w:pPr>
    </w:p>
    <w:p w14:paraId="0BC160EE">
      <w:pPr>
        <w:pStyle w:val="2"/>
        <w:widowControl w:val="0"/>
        <w:kinsoku/>
        <w:topLinePunct/>
        <w:rPr>
          <w:rFonts w:ascii="Times New Roman" w:hAnsi="Times New Roman" w:cs="Times New Roman"/>
          <w:color w:val="auto"/>
          <w:spacing w:val="2"/>
        </w:rPr>
      </w:pPr>
      <w:r>
        <w:rPr>
          <w:rFonts w:ascii="Times New Roman" w:hAnsi="Times New Roman" w:cs="Times New Roman"/>
          <w:color w:val="auto"/>
          <w:spacing w:val="2"/>
          <w14:textOutline w14:w="8496" w14:cap="flat" w14:cmpd="sng" w14:algn="ctr">
            <w14:solidFill>
              <w14:srgbClr w14:val="000000"/>
            </w14:solidFill>
            <w14:prstDash w14:val="solid"/>
            <w14:miter w14:val="0"/>
          </w14:textOutline>
        </w:rPr>
        <w:t>第一章</w:t>
      </w:r>
      <w:r>
        <w:rPr>
          <w:rFonts w:ascii="Times New Roman" w:hAnsi="Times New Roman" w:cs="Times New Roman"/>
          <w:color w:val="auto"/>
          <w:spacing w:val="2"/>
        </w:rPr>
        <w:t xml:space="preserve"> </w:t>
      </w:r>
      <w:r>
        <w:rPr>
          <w:rFonts w:ascii="Times New Roman" w:hAnsi="Times New Roman" w:cs="Times New Roman"/>
          <w:color w:val="auto"/>
          <w14:textOutline w14:w="8496" w14:cap="flat" w14:cmpd="sng" w14:algn="ctr">
            <w14:solidFill>
              <w14:srgbClr w14:val="000000"/>
            </w14:solidFill>
            <w14:prstDash w14:val="solid"/>
            <w14:miter w14:val="0"/>
          </w14:textOutline>
        </w:rPr>
        <w:t>交易</w:t>
      </w:r>
      <w:r>
        <w:rPr>
          <w:rFonts w:ascii="Times New Roman" w:hAnsi="Times New Roman" w:cs="Times New Roman"/>
          <w:color w:val="auto"/>
          <w:spacing w:val="2"/>
          <w14:textOutline w14:w="8496" w14:cap="flat" w14:cmpd="sng" w14:algn="ctr">
            <w14:solidFill>
              <w14:srgbClr w14:val="000000"/>
            </w14:solidFill>
            <w14:prstDash w14:val="solid"/>
            <w14:miter w14:val="0"/>
          </w14:textOutline>
        </w:rPr>
        <w:t>公</w:t>
      </w:r>
      <w:r>
        <w:rPr>
          <w:rFonts w:ascii="Times New Roman" w:hAnsi="Times New Roman" w:cs="Times New Roman"/>
          <w:color w:val="auto"/>
          <w14:textOutline w14:w="8496" w14:cap="flat" w14:cmpd="sng" w14:algn="ctr">
            <w14:solidFill>
              <w14:srgbClr w14:val="000000"/>
            </w14:solidFill>
            <w14:prstDash w14:val="solid"/>
            <w14:miter w14:val="0"/>
          </w14:textOutline>
        </w:rPr>
        <w:t>告</w:t>
      </w:r>
      <w:r>
        <w:rPr>
          <w:rFonts w:hint="eastAsia" w:ascii="黑体" w:hAnsi="黑体" w:cs="黑体"/>
          <w:color w:val="auto"/>
          <w14:textOutline w14:w="8496" w14:cap="flat" w14:cmpd="sng" w14:algn="ctr">
            <w14:solidFill>
              <w14:srgbClr w14:val="000000"/>
            </w14:solidFill>
            <w14:prstDash w14:val="solid"/>
            <w14:miter w14:val="0"/>
          </w14:textOutline>
        </w:rPr>
        <w:t>/</w:t>
      </w:r>
      <w:r>
        <w:rPr>
          <w:rFonts w:ascii="Times New Roman" w:hAnsi="Times New Roman" w:cs="Times New Roman"/>
          <w:color w:val="auto"/>
          <w:spacing w:val="2"/>
          <w14:textOutline w14:w="8496" w14:cap="flat" w14:cmpd="sng" w14:algn="ctr">
            <w14:solidFill>
              <w14:srgbClr w14:val="000000"/>
            </w14:solidFill>
            <w14:prstDash w14:val="solid"/>
            <w14:miter w14:val="0"/>
          </w14:textOutline>
        </w:rPr>
        <w:t>响应邀请书</w:t>
      </w:r>
    </w:p>
    <w:p w14:paraId="0178C694">
      <w:pPr>
        <w:spacing w:line="360" w:lineRule="auto"/>
        <w:ind w:left="6"/>
        <w:jc w:val="center"/>
        <w:rPr>
          <w:rFonts w:ascii="Times New Roman" w:hAnsi="Times New Roman" w:cs="Times New Roman"/>
          <w:color w:val="auto"/>
          <w14:textOutline w14:w="8496" w14:cap="flat" w14:cmpd="sng" w14:algn="ctr">
            <w14:solidFill>
              <w14:srgbClr w14:val="000000"/>
            </w14:solidFill>
            <w14:prstDash w14:val="solid"/>
            <w14:miter w14:val="0"/>
          </w14:textOutline>
        </w:rPr>
      </w:pPr>
    </w:p>
    <w:p w14:paraId="22E30516">
      <w:pPr>
        <w:jc w:val="center"/>
        <w:rPr>
          <w:rFonts w:ascii="Times New Roman" w:hAnsi="Times New Roman" w:eastAsia="宋体" w:cs="Times New Roman"/>
          <w:b/>
          <w:bCs/>
          <w:sz w:val="40"/>
          <w:szCs w:val="40"/>
        </w:rPr>
      </w:pPr>
      <w:r>
        <w:rPr>
          <w:rFonts w:hint="eastAsia" w:ascii="宋体" w:hAnsi="宋体" w:cs="宋体"/>
          <w:b/>
          <w:sz w:val="40"/>
          <w:szCs w:val="40"/>
          <w:u w:val="single"/>
          <w:lang w:val="zh-CN"/>
        </w:rPr>
        <w:t>临江公司2026年布袋净气室防腐工程施工</w:t>
      </w:r>
    </w:p>
    <w:p w14:paraId="594A0394">
      <w:pPr>
        <w:jc w:val="center"/>
        <w:rPr>
          <w:rFonts w:ascii="Times New Roman" w:hAnsi="Times New Roman" w:cs="Times New Roman"/>
          <w:sz w:val="40"/>
          <w:szCs w:val="40"/>
        </w:rPr>
      </w:pPr>
      <w:r>
        <w:rPr>
          <w:rFonts w:hint="eastAsia" w:ascii="宋体" w:hAnsi="宋体" w:cs="宋体"/>
          <w:b/>
          <w:sz w:val="40"/>
          <w:szCs w:val="40"/>
          <w:u w:val="single"/>
          <w:lang w:val="zh-CN"/>
        </w:rPr>
        <w:t>交易公告</w:t>
      </w:r>
    </w:p>
    <w:p w14:paraId="3CADBD04">
      <w:pPr>
        <w:rPr>
          <w:rFonts w:ascii="Times New Roman" w:hAnsi="Times New Roman" w:eastAsia="宋体" w:cs="Times New Roman"/>
          <w:b/>
          <w:sz w:val="32"/>
          <w:szCs w:val="32"/>
        </w:rPr>
      </w:pPr>
      <w:r>
        <w:rPr>
          <w:rFonts w:ascii="Times New Roman" w:hAnsi="Times New Roman" w:eastAsia="宋体" w:cs="Times New Roman"/>
          <w:b/>
          <w:sz w:val="32"/>
          <w:szCs w:val="32"/>
        </w:rPr>
        <w:t>1.发包</w:t>
      </w:r>
      <w:r>
        <w:rPr>
          <w:rFonts w:ascii="Times New Roman" w:hAnsi="Times New Roman" w:eastAsia="宋体" w:cs="Times New Roman"/>
          <w:b/>
          <w:sz w:val="32"/>
          <w:szCs w:val="32"/>
          <w:lang w:val="zh-CN"/>
        </w:rPr>
        <w:t>条件</w:t>
      </w:r>
    </w:p>
    <w:p w14:paraId="0697B1C8">
      <w:pPr>
        <w:pStyle w:val="19"/>
        <w:kinsoku/>
        <w:autoSpaceDE/>
        <w:autoSpaceDN/>
        <w:adjustRightInd/>
        <w:snapToGrid/>
        <w:spacing w:beforeAutospacing="0" w:afterAutospacing="0" w:line="400" w:lineRule="exact"/>
        <w:ind w:firstLine="480" w:firstLineChars="200"/>
        <w:textAlignment w:val="auto"/>
        <w:rPr>
          <w:rFonts w:ascii="宋体" w:hAnsi="宋体" w:eastAsia="宋体" w:cs="宋体"/>
          <w:szCs w:val="24"/>
          <w:lang w:val="zh-CN"/>
        </w:rPr>
      </w:pPr>
      <w:r>
        <w:rPr>
          <w:rFonts w:hint="eastAsia" w:asciiTheme="minorEastAsia" w:hAnsiTheme="minorEastAsia" w:eastAsiaTheme="minorEastAsia" w:cstheme="minorEastAsia"/>
          <w:szCs w:val="24"/>
          <w:u w:val="single"/>
          <w:lang w:val="zh-CN"/>
        </w:rPr>
        <w:t>临江公司2026年布袋净气室防腐工程施工</w:t>
      </w:r>
      <w:r>
        <w:rPr>
          <w:rFonts w:hint="eastAsia" w:asciiTheme="minorEastAsia" w:hAnsiTheme="minorEastAsia" w:eastAsiaTheme="minorEastAsia" w:cstheme="minorEastAsia"/>
          <w:szCs w:val="24"/>
          <w:lang w:val="zh-CN"/>
        </w:rPr>
        <w:t>已由</w:t>
      </w:r>
      <w:r>
        <w:rPr>
          <w:rFonts w:hint="eastAsia" w:asciiTheme="minorEastAsia" w:hAnsiTheme="minorEastAsia" w:eastAsiaTheme="minorEastAsia" w:cstheme="minorEastAsia"/>
          <w:szCs w:val="24"/>
          <w:u w:val="single"/>
          <w:lang w:val="zh-CN"/>
        </w:rPr>
        <w:t>杭州临江环境能源有限公司</w:t>
      </w:r>
      <w:r>
        <w:rPr>
          <w:rFonts w:hint="eastAsia" w:asciiTheme="minorEastAsia" w:hAnsiTheme="minorEastAsia" w:eastAsiaTheme="minorEastAsia" w:cstheme="minorEastAsia"/>
          <w:szCs w:val="24"/>
          <w:lang w:val="zh-CN"/>
        </w:rPr>
        <w:t>批准建设</w:t>
      </w:r>
      <w:r>
        <w:rPr>
          <w:rFonts w:hint="eastAsia" w:asciiTheme="minorEastAsia" w:hAnsiTheme="minorEastAsia" w:eastAsiaTheme="minorEastAsia" w:cstheme="minorEastAsia"/>
          <w:szCs w:val="24"/>
        </w:rPr>
        <w:t>，交易项目编号为</w:t>
      </w:r>
      <w:r>
        <w:rPr>
          <w:rFonts w:hint="eastAsia" w:asciiTheme="minorEastAsia" w:hAnsiTheme="minorEastAsia" w:eastAsiaTheme="minorEastAsia" w:cstheme="minorEastAsia"/>
          <w:szCs w:val="24"/>
          <w:u w:val="single"/>
          <w:lang w:val="zh-CN"/>
        </w:rPr>
        <w:t>NY-1gGJ2605015</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val="zh-CN"/>
        </w:rPr>
        <w:t>建设资金来自</w:t>
      </w:r>
      <w:r>
        <w:rPr>
          <w:rFonts w:hint="eastAsia" w:asciiTheme="minorEastAsia" w:hAnsiTheme="minorEastAsia" w:eastAsiaTheme="minorEastAsia" w:cstheme="minorEastAsia"/>
          <w:szCs w:val="24"/>
          <w:u w:val="single"/>
          <w:lang w:val="en-US" w:eastAsia="zh-CN"/>
        </w:rPr>
        <w:t>自筹</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val="zh-CN"/>
        </w:rPr>
        <w:t>出资比例为</w:t>
      </w:r>
      <w:r>
        <w:rPr>
          <w:rFonts w:hint="eastAsia" w:asciiTheme="minorEastAsia" w:hAnsiTheme="minorEastAsia" w:eastAsiaTheme="minorEastAsia" w:cstheme="minorEastAsia"/>
          <w:szCs w:val="24"/>
          <w:u w:val="single"/>
          <w:lang w:val="en-US" w:eastAsia="zh-CN"/>
        </w:rPr>
        <w:t>100%</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val="zh-CN"/>
        </w:rPr>
        <w:t>发包人为</w:t>
      </w:r>
      <w:r>
        <w:rPr>
          <w:rFonts w:hint="eastAsia" w:asciiTheme="minorEastAsia" w:hAnsiTheme="minorEastAsia" w:eastAsiaTheme="minorEastAsia" w:cstheme="minorEastAsia"/>
          <w:szCs w:val="24"/>
          <w:u w:val="single"/>
          <w:lang w:eastAsia="zh-CN"/>
        </w:rPr>
        <w:t>杭州临江环境能源有限公司</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val="zh-CN"/>
        </w:rPr>
        <w:t>委托代理机构为</w:t>
      </w:r>
      <w:r>
        <w:rPr>
          <w:rFonts w:hint="eastAsia" w:asciiTheme="minorEastAsia" w:hAnsiTheme="minorEastAsia" w:eastAsiaTheme="minorEastAsia" w:cstheme="minorEastAsia"/>
          <w:szCs w:val="24"/>
          <w:u w:val="single"/>
          <w:lang w:eastAsia="zh-CN"/>
        </w:rPr>
        <w:t>浙江科佳工程咨询有限公司</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lang w:val="zh-CN"/>
        </w:rPr>
        <w:t>。项目已具备</w:t>
      </w:r>
      <w:r>
        <w:rPr>
          <w:rFonts w:hint="eastAsia" w:asciiTheme="minorEastAsia" w:hAnsiTheme="minorEastAsia" w:eastAsiaTheme="minorEastAsia" w:cstheme="minorEastAsia"/>
          <w:szCs w:val="24"/>
        </w:rPr>
        <w:t>发包</w:t>
      </w:r>
      <w:r>
        <w:rPr>
          <w:rFonts w:hint="eastAsia" w:asciiTheme="minorEastAsia" w:hAnsiTheme="minorEastAsia" w:eastAsiaTheme="minorEastAsia" w:cstheme="minorEastAsia"/>
          <w:szCs w:val="24"/>
          <w:lang w:val="zh-CN"/>
        </w:rPr>
        <w:t>条件</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val="zh-CN"/>
        </w:rPr>
        <w:t>现对该</w:t>
      </w:r>
      <w:r>
        <w:rPr>
          <w:rFonts w:hint="eastAsia" w:asciiTheme="minorEastAsia" w:hAnsiTheme="minorEastAsia" w:eastAsiaTheme="minorEastAsia" w:cstheme="minorEastAsia"/>
          <w:szCs w:val="24"/>
          <w:u w:val="single"/>
          <w:lang w:eastAsia="zh-CN"/>
        </w:rPr>
        <w:t>临江公司2026年布袋净气室防腐工程施工</w:t>
      </w:r>
      <w:r>
        <w:rPr>
          <w:rFonts w:hint="eastAsia" w:asciiTheme="minorEastAsia" w:hAnsiTheme="minorEastAsia" w:eastAsiaTheme="minorEastAsia" w:cstheme="minorEastAsia"/>
          <w:szCs w:val="24"/>
          <w:lang w:val="zh-CN"/>
        </w:rPr>
        <w:t>进行公开竞标。</w:t>
      </w:r>
    </w:p>
    <w:p w14:paraId="541289A0">
      <w:pPr>
        <w:rPr>
          <w:rFonts w:ascii="Times New Roman" w:hAnsi="Times New Roman" w:eastAsia="宋体" w:cs="Times New Roman"/>
          <w:b/>
          <w:sz w:val="32"/>
          <w:szCs w:val="32"/>
          <w:lang w:val="zh-CN"/>
        </w:rPr>
      </w:pPr>
      <w:r>
        <w:rPr>
          <w:rFonts w:ascii="Times New Roman" w:hAnsi="Times New Roman" w:eastAsia="宋体" w:cs="Times New Roman"/>
          <w:b/>
          <w:sz w:val="32"/>
          <w:szCs w:val="32"/>
        </w:rPr>
        <w:t>2.</w:t>
      </w:r>
      <w:r>
        <w:rPr>
          <w:rFonts w:ascii="Times New Roman" w:hAnsi="Times New Roman" w:eastAsia="宋体" w:cs="Times New Roman"/>
          <w:b/>
          <w:sz w:val="32"/>
          <w:szCs w:val="32"/>
          <w:lang w:val="zh-CN"/>
        </w:rPr>
        <w:t>项目概况与</w:t>
      </w:r>
      <w:r>
        <w:rPr>
          <w:rFonts w:ascii="Times New Roman" w:hAnsi="Times New Roman" w:eastAsia="宋体" w:cs="Times New Roman"/>
          <w:b/>
          <w:sz w:val="32"/>
          <w:szCs w:val="32"/>
        </w:rPr>
        <w:t>发包</w:t>
      </w:r>
      <w:r>
        <w:rPr>
          <w:rFonts w:ascii="Times New Roman" w:hAnsi="Times New Roman" w:eastAsia="宋体" w:cs="Times New Roman"/>
          <w:b/>
          <w:sz w:val="32"/>
          <w:szCs w:val="32"/>
          <w:lang w:val="zh-CN"/>
        </w:rPr>
        <w:t>范围</w:t>
      </w:r>
    </w:p>
    <w:p w14:paraId="002316A1">
      <w:pPr>
        <w:pStyle w:val="8"/>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80" w:firstLineChars="200"/>
        <w:jc w:val="both"/>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2.1项目概况：项目概算（建安部分）：</w:t>
      </w:r>
      <w:r>
        <w:rPr>
          <w:rFonts w:hint="eastAsia" w:asciiTheme="minorEastAsia" w:hAnsiTheme="minorEastAsia" w:eastAsiaTheme="minorEastAsia" w:cstheme="minorEastAsia"/>
          <w:szCs w:val="24"/>
          <w:u w:val="single"/>
          <w:lang w:eastAsia="zh-CN"/>
        </w:rPr>
        <w:t>285.0424</w:t>
      </w:r>
      <w:r>
        <w:rPr>
          <w:rFonts w:hint="eastAsia" w:asciiTheme="minorEastAsia" w:hAnsiTheme="minorEastAsia" w:eastAsiaTheme="minorEastAsia" w:cstheme="minorEastAsia"/>
          <w:szCs w:val="24"/>
        </w:rPr>
        <w:t>万元，小额工程预算：</w:t>
      </w:r>
      <w:r>
        <w:rPr>
          <w:rFonts w:hint="eastAsia" w:asciiTheme="minorEastAsia" w:hAnsiTheme="minorEastAsia" w:eastAsiaTheme="minorEastAsia" w:cstheme="minorEastAsia"/>
          <w:szCs w:val="24"/>
          <w:u w:val="single"/>
          <w:lang w:eastAsia="zh-CN"/>
        </w:rPr>
        <w:t>285.0424</w:t>
      </w:r>
      <w:r>
        <w:rPr>
          <w:rFonts w:hint="eastAsia" w:asciiTheme="minorEastAsia" w:hAnsiTheme="minorEastAsia" w:eastAsiaTheme="minorEastAsia" w:cstheme="minorEastAsia"/>
          <w:szCs w:val="24"/>
        </w:rPr>
        <w:t>万元；小额工程</w:t>
      </w:r>
      <w:r>
        <w:rPr>
          <w:rFonts w:hint="eastAsia" w:asciiTheme="minorEastAsia" w:hAnsiTheme="minorEastAsia" w:eastAsiaTheme="minorEastAsia" w:cstheme="minorEastAsia"/>
          <w:bCs/>
          <w:szCs w:val="24"/>
        </w:rPr>
        <w:t>招标控制价：</w:t>
      </w:r>
      <w:r>
        <w:rPr>
          <w:rFonts w:hint="eastAsia" w:asciiTheme="minorEastAsia" w:hAnsiTheme="minorEastAsia" w:eastAsiaTheme="minorEastAsia" w:cstheme="minorEastAsia"/>
          <w:szCs w:val="24"/>
          <w:u w:val="single"/>
          <w:lang w:eastAsia="zh-CN"/>
        </w:rPr>
        <w:t>285.0424</w:t>
      </w:r>
      <w:r>
        <w:rPr>
          <w:rFonts w:hint="eastAsia" w:asciiTheme="minorEastAsia" w:hAnsiTheme="minorEastAsia" w:eastAsiaTheme="minorEastAsia" w:cstheme="minorEastAsia"/>
          <w:szCs w:val="24"/>
        </w:rPr>
        <w:t>万元</w:t>
      </w:r>
      <w:r>
        <w:rPr>
          <w:rFonts w:hint="eastAsia" w:asciiTheme="minorEastAsia" w:hAnsiTheme="minorEastAsia" w:eastAsiaTheme="minorEastAsia" w:cstheme="minorEastAsia"/>
          <w:bCs/>
          <w:szCs w:val="24"/>
        </w:rPr>
        <w:t>；</w:t>
      </w:r>
      <w:r>
        <w:rPr>
          <w:rFonts w:hint="eastAsia" w:asciiTheme="minorEastAsia" w:hAnsiTheme="minorEastAsia" w:eastAsiaTheme="minorEastAsia" w:cstheme="minorEastAsia"/>
          <w:szCs w:val="24"/>
        </w:rPr>
        <w:t>建设规模：</w:t>
      </w:r>
      <w:r>
        <w:rPr>
          <w:rFonts w:hint="eastAsia" w:asciiTheme="minorEastAsia" w:hAnsiTheme="minorEastAsia" w:eastAsiaTheme="minorEastAsia" w:cstheme="minorEastAsia"/>
          <w:color w:val="auto"/>
          <w:kern w:val="2"/>
          <w:szCs w:val="24"/>
          <w:u w:val="single"/>
          <w:lang w:eastAsia="zh-CN"/>
        </w:rPr>
        <w:t>3套共计60个布袋净气室防腐及大修施工</w:t>
      </w:r>
      <w:r>
        <w:rPr>
          <w:rFonts w:hint="eastAsia" w:asciiTheme="minorEastAsia" w:hAnsiTheme="minorEastAsia" w:eastAsiaTheme="minorEastAsia" w:cstheme="minorEastAsia"/>
          <w:szCs w:val="24"/>
        </w:rPr>
        <w:t>，建设地点：</w:t>
      </w:r>
      <w:r>
        <w:rPr>
          <w:rFonts w:hint="eastAsia" w:asciiTheme="minorEastAsia" w:hAnsiTheme="minorEastAsia" w:eastAsiaTheme="minorEastAsia" w:cstheme="minorEastAsia"/>
          <w:color w:val="auto"/>
          <w:kern w:val="2"/>
          <w:szCs w:val="24"/>
          <w:u w:val="single"/>
          <w:lang w:eastAsia="zh-CN"/>
        </w:rPr>
        <w:t>浙江省杭州市钱塘区临江街道杭州临江环境能源有限公司厂区内</w:t>
      </w:r>
      <w:r>
        <w:rPr>
          <w:rFonts w:hint="eastAsia" w:asciiTheme="minorEastAsia" w:hAnsiTheme="minorEastAsia" w:eastAsiaTheme="minorEastAsia" w:cstheme="minorEastAsia"/>
          <w:szCs w:val="24"/>
        </w:rPr>
        <w:t>。</w:t>
      </w:r>
    </w:p>
    <w:p w14:paraId="59C734C7">
      <w:pPr>
        <w:pStyle w:val="8"/>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80" w:firstLineChars="200"/>
        <w:jc w:val="both"/>
        <w:textAlignment w:val="auto"/>
        <w:rPr>
          <w:rFonts w:asciiTheme="minorEastAsia" w:hAnsiTheme="minorEastAsia" w:eastAsiaTheme="minorEastAsia" w:cstheme="minorEastAsia"/>
          <w:szCs w:val="24"/>
        </w:rPr>
      </w:pPr>
      <w:r>
        <w:rPr>
          <w:rFonts w:asciiTheme="minorEastAsia" w:hAnsiTheme="minorEastAsia" w:eastAsiaTheme="minorEastAsia" w:cstheme="minorEastAsia"/>
          <w:szCs w:val="24"/>
        </w:rPr>
        <w:t>2.2</w:t>
      </w:r>
      <w:r>
        <w:rPr>
          <w:rFonts w:hint="eastAsia" w:asciiTheme="minorEastAsia" w:hAnsiTheme="minorEastAsia" w:eastAsiaTheme="minorEastAsia" w:cstheme="minorEastAsia"/>
          <w:szCs w:val="24"/>
        </w:rPr>
        <w:t>发包范围与内容：</w:t>
      </w:r>
      <w:r>
        <w:rPr>
          <w:rFonts w:hint="eastAsia" w:asciiTheme="minorEastAsia" w:hAnsiTheme="minorEastAsia" w:eastAsiaTheme="minorEastAsia" w:cstheme="minorEastAsia"/>
          <w:szCs w:val="24"/>
          <w:u w:val="single"/>
        </w:rPr>
        <w:t>能源运行中心3套共计60个布袋净气室防腐大修</w:t>
      </w:r>
      <w:r>
        <w:rPr>
          <w:rFonts w:hint="eastAsia" w:asciiTheme="minorEastAsia" w:hAnsiTheme="minorEastAsia" w:eastAsiaTheme="minorEastAsia" w:cstheme="minorEastAsia"/>
          <w:szCs w:val="24"/>
        </w:rPr>
        <w:t>。</w:t>
      </w:r>
    </w:p>
    <w:p w14:paraId="051B0B7F">
      <w:pPr>
        <w:pStyle w:val="8"/>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80" w:firstLineChars="200"/>
        <w:jc w:val="both"/>
        <w:textAlignment w:val="auto"/>
        <w:rPr>
          <w:rFonts w:asciiTheme="minorEastAsia" w:hAnsiTheme="minorEastAsia" w:eastAsiaTheme="minorEastAsia" w:cstheme="minorEastAsia"/>
          <w:szCs w:val="24"/>
        </w:rPr>
      </w:pPr>
      <w:r>
        <w:rPr>
          <w:rFonts w:asciiTheme="minorEastAsia" w:hAnsiTheme="minorEastAsia" w:eastAsiaTheme="minorEastAsia" w:cstheme="minorEastAsia"/>
          <w:szCs w:val="24"/>
        </w:rPr>
        <w:t>2.3</w:t>
      </w:r>
      <w:r>
        <w:rPr>
          <w:rFonts w:hint="eastAsia" w:asciiTheme="minorEastAsia" w:hAnsiTheme="minorEastAsia" w:eastAsiaTheme="minorEastAsia" w:cstheme="minorEastAsia"/>
          <w:color w:val="auto"/>
          <w:szCs w:val="24"/>
        </w:rPr>
        <w:t>施工总工期</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u w:val="single"/>
        </w:rPr>
        <w:t>总工期60天，分3次施工，每次发包人在停炉前7天通知承包人，承包人接通知后，在20天内完成单套20个布袋净气室防腐大修施工。</w:t>
      </w:r>
    </w:p>
    <w:p w14:paraId="2F8E403A">
      <w:pPr>
        <w:numPr>
          <w:ilvl w:val="0"/>
          <w:numId w:val="1"/>
        </w:numPr>
        <w:rPr>
          <w:rFonts w:ascii="Times New Roman" w:hAnsi="Times New Roman" w:eastAsia="宋体" w:cs="Times New Roman"/>
          <w:b/>
          <w:sz w:val="32"/>
          <w:szCs w:val="32"/>
        </w:rPr>
      </w:pPr>
      <w:r>
        <w:rPr>
          <w:rFonts w:ascii="Times New Roman" w:hAnsi="Times New Roman" w:eastAsia="宋体" w:cs="Times New Roman"/>
          <w:b/>
          <w:sz w:val="32"/>
          <w:szCs w:val="32"/>
        </w:rPr>
        <w:t>资格要求</w:t>
      </w:r>
    </w:p>
    <w:p w14:paraId="6C432DED">
      <w:pPr>
        <w:pStyle w:val="8"/>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80" w:firstLineChars="200"/>
        <w:textAlignment w:val="auto"/>
        <w:rPr>
          <w:rFonts w:ascii="宋体" w:hAnsi="宋体" w:eastAsia="宋体" w:cs="宋体"/>
          <w:szCs w:val="24"/>
        </w:rPr>
      </w:pPr>
      <w:r>
        <w:rPr>
          <w:rFonts w:hint="eastAsia" w:ascii="宋体" w:hAnsi="宋体" w:eastAsia="宋体" w:cs="宋体"/>
          <w:szCs w:val="24"/>
          <w:shd w:val="clear" w:color="auto" w:fill="FFFFFF"/>
        </w:rPr>
        <w:t>（一）潜在承包人</w:t>
      </w:r>
      <w:r>
        <w:rPr>
          <w:rFonts w:hint="eastAsia" w:ascii="宋体" w:hAnsi="宋体" w:eastAsia="宋体" w:cs="宋体"/>
          <w:szCs w:val="24"/>
        </w:rPr>
        <w:t>：</w:t>
      </w:r>
    </w:p>
    <w:p w14:paraId="57A79BEE">
      <w:pPr>
        <w:pStyle w:val="8"/>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80" w:firstLineChars="200"/>
        <w:jc w:val="both"/>
        <w:textAlignment w:val="auto"/>
        <w:rPr>
          <w:rFonts w:ascii="宋体" w:hAnsi="宋体" w:eastAsia="宋体" w:cs="宋体"/>
          <w:szCs w:val="24"/>
        </w:rPr>
      </w:pPr>
      <w:r>
        <w:rPr>
          <w:rFonts w:ascii="宋体" w:hAnsi="宋体" w:eastAsia="宋体" w:cs="宋体"/>
          <w:color w:val="auto"/>
          <w:szCs w:val="24"/>
        </w:rPr>
        <w:t>3.1</w:t>
      </w:r>
      <w:r>
        <w:rPr>
          <w:rFonts w:hint="eastAsia" w:ascii="宋体" w:hAnsi="宋体" w:eastAsia="宋体" w:cs="宋体"/>
          <w:szCs w:val="24"/>
        </w:rPr>
        <w:t>具备</w:t>
      </w:r>
      <w:r>
        <w:rPr>
          <w:rFonts w:hint="eastAsia" w:asciiTheme="minorEastAsia" w:hAnsiTheme="minorEastAsia" w:eastAsiaTheme="minorEastAsia" w:cstheme="minorEastAsia"/>
          <w:szCs w:val="24"/>
          <w:u w:val="single"/>
          <w:lang w:eastAsia="zh-CN"/>
        </w:rPr>
        <w:t xml:space="preserve"> 防水防腐保温工程专业承包二级及上</w:t>
      </w:r>
      <w:r>
        <w:rPr>
          <w:rFonts w:hint="eastAsia" w:asciiTheme="minorEastAsia" w:hAnsiTheme="minorEastAsia" w:eastAsiaTheme="minorEastAsia" w:cstheme="minorEastAsia"/>
          <w:szCs w:val="24"/>
          <w:u w:val="single"/>
          <w:lang w:val="en-US" w:eastAsia="zh-CN"/>
        </w:rPr>
        <w:t xml:space="preserve"> </w:t>
      </w:r>
      <w:r>
        <w:rPr>
          <w:rFonts w:hint="eastAsia" w:ascii="宋体" w:hAnsi="宋体" w:eastAsia="宋体" w:cs="宋体"/>
          <w:szCs w:val="24"/>
        </w:rPr>
        <w:t>资质；</w:t>
      </w:r>
    </w:p>
    <w:p w14:paraId="03230603">
      <w:pPr>
        <w:pStyle w:val="8"/>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40" w:firstLineChars="200"/>
        <w:jc w:val="both"/>
        <w:textAlignment w:val="auto"/>
        <w:rPr>
          <w:rFonts w:ascii="宋体" w:hAnsi="宋体" w:eastAsia="宋体" w:cs="宋体"/>
          <w:szCs w:val="24"/>
        </w:rPr>
      </w:pPr>
      <w:r>
        <w:rPr>
          <w:rFonts w:hint="eastAsia"/>
          <w:sz w:val="22"/>
          <w:szCs w:val="22"/>
          <w:shd w:val="pct10" w:color="auto" w:fill="FFFFFF"/>
        </w:rPr>
        <w:t>■</w:t>
      </w:r>
      <w:r>
        <w:rPr>
          <w:rFonts w:ascii="宋体" w:hAnsi="宋体" w:eastAsia="宋体" w:cs="宋体"/>
          <w:color w:val="auto"/>
          <w:szCs w:val="24"/>
        </w:rPr>
        <w:t>3.2</w:t>
      </w:r>
      <w:r>
        <w:rPr>
          <w:rFonts w:hint="eastAsia" w:ascii="宋体" w:hAnsi="宋体" w:eastAsia="宋体" w:cs="宋体"/>
          <w:szCs w:val="24"/>
        </w:rPr>
        <w:t>具备有效的企业安全生产许可证</w:t>
      </w:r>
      <w:r>
        <w:rPr>
          <w:rFonts w:hint="eastAsia" w:ascii="宋体" w:hAnsi="宋体" w:eastAsia="宋体" w:cs="宋体"/>
          <w:color w:val="auto"/>
          <w:szCs w:val="24"/>
        </w:rPr>
        <w:t>，企业主要负责人（法定代表人、企业经理、企业分管安全生产的副经理、企业技术负责人）具有对应有效的安全生产考核合格证书；</w:t>
      </w:r>
    </w:p>
    <w:p w14:paraId="73CE9E99">
      <w:pPr>
        <w:tabs>
          <w:tab w:val="left" w:pos="1343"/>
          <w:tab w:val="left" w:pos="2697"/>
          <w:tab w:val="left" w:pos="3264"/>
          <w:tab w:val="left" w:pos="4896"/>
          <w:tab w:val="left" w:pos="6005"/>
          <w:tab w:val="left" w:pos="7085"/>
          <w:tab w:val="left" w:pos="7498"/>
        </w:tabs>
        <w:adjustRightInd/>
        <w:snapToGrid/>
        <w:ind w:firstLine="440" w:firstLineChars="200"/>
        <w:jc w:val="both"/>
        <w:rPr>
          <w:rFonts w:ascii="宋体" w:hAnsi="宋体" w:eastAsia="宋体" w:cs="宋体"/>
          <w:szCs w:val="24"/>
        </w:rPr>
      </w:pPr>
      <w:r>
        <w:rPr>
          <w:rFonts w:hint="eastAsia"/>
          <w:sz w:val="22"/>
          <w:szCs w:val="22"/>
          <w:shd w:val="pct10" w:color="auto" w:fill="FFFFFF"/>
        </w:rPr>
        <w:t>□</w:t>
      </w:r>
      <w:r>
        <w:rPr>
          <w:rFonts w:ascii="宋体" w:hAnsi="宋体" w:eastAsia="宋体" w:cs="宋体"/>
          <w:color w:val="auto"/>
          <w:szCs w:val="24"/>
        </w:rPr>
        <w:t>3.3</w:t>
      </w:r>
      <w:r>
        <w:rPr>
          <w:rFonts w:hint="eastAsia" w:ascii="宋体" w:hAnsi="宋体" w:eastAsia="宋体" w:cs="宋体"/>
          <w:szCs w:val="24"/>
        </w:rPr>
        <w:t>自</w:t>
      </w:r>
      <w:r>
        <w:rPr>
          <w:rFonts w:ascii="宋体" w:hAnsi="宋体" w:eastAsia="宋体" w:cs="宋体"/>
          <w:szCs w:val="24"/>
          <w:u w:val="single"/>
        </w:rPr>
        <w:t xml:space="preserve"> </w:t>
      </w:r>
      <w:r>
        <w:rPr>
          <w:rFonts w:hint="eastAsia" w:ascii="宋体" w:hAnsi="宋体" w:eastAsia="宋体" w:cs="宋体"/>
          <w:szCs w:val="24"/>
          <w:u w:val="single"/>
          <w:lang w:val="en-US" w:eastAsia="zh-CN"/>
        </w:rPr>
        <w:t>/</w:t>
      </w:r>
      <w:r>
        <w:rPr>
          <w:rFonts w:ascii="宋体" w:hAnsi="宋体" w:eastAsia="宋体" w:cs="宋体"/>
          <w:szCs w:val="24"/>
          <w:u w:val="single"/>
        </w:rPr>
        <w:t xml:space="preserve">  </w:t>
      </w:r>
      <w:r>
        <w:rPr>
          <w:rFonts w:hint="eastAsia" w:ascii="宋体" w:hAnsi="宋体" w:eastAsia="宋体" w:cs="宋体"/>
          <w:szCs w:val="24"/>
        </w:rPr>
        <w:t>年</w:t>
      </w:r>
      <w:r>
        <w:rPr>
          <w:rFonts w:ascii="宋体" w:hAnsi="宋体" w:eastAsia="宋体" w:cs="宋体"/>
          <w:szCs w:val="24"/>
          <w:u w:val="single"/>
        </w:rPr>
        <w:t xml:space="preserve">  </w:t>
      </w:r>
      <w:r>
        <w:rPr>
          <w:rFonts w:hint="eastAsia" w:ascii="宋体" w:hAnsi="宋体" w:eastAsia="宋体" w:cs="宋体"/>
          <w:szCs w:val="24"/>
          <w:u w:val="single"/>
          <w:lang w:val="en-US" w:eastAsia="zh-CN"/>
        </w:rPr>
        <w:t>/</w:t>
      </w:r>
      <w:r>
        <w:rPr>
          <w:rFonts w:ascii="宋体" w:hAnsi="宋体" w:eastAsia="宋体" w:cs="宋体"/>
          <w:szCs w:val="24"/>
          <w:u w:val="single"/>
        </w:rPr>
        <w:t xml:space="preserve"> </w:t>
      </w:r>
      <w:r>
        <w:rPr>
          <w:rFonts w:hint="eastAsia" w:ascii="宋体" w:hAnsi="宋体" w:eastAsia="宋体" w:cs="宋体"/>
          <w:szCs w:val="24"/>
        </w:rPr>
        <w:t>月</w:t>
      </w:r>
      <w:r>
        <w:rPr>
          <w:rFonts w:ascii="宋体" w:hAnsi="宋体" w:eastAsia="宋体" w:cs="宋体"/>
          <w:szCs w:val="24"/>
          <w:u w:val="single"/>
        </w:rPr>
        <w:t xml:space="preserve"> </w:t>
      </w:r>
      <w:r>
        <w:rPr>
          <w:rFonts w:hint="eastAsia" w:ascii="宋体" w:hAnsi="宋体" w:eastAsia="宋体" w:cs="宋体"/>
          <w:szCs w:val="24"/>
          <w:u w:val="single"/>
          <w:lang w:val="en-US" w:eastAsia="zh-CN"/>
        </w:rPr>
        <w:t>/</w:t>
      </w:r>
      <w:r>
        <w:rPr>
          <w:rFonts w:ascii="宋体" w:hAnsi="宋体" w:eastAsia="宋体" w:cs="宋体"/>
          <w:szCs w:val="24"/>
          <w:u w:val="single"/>
        </w:rPr>
        <w:t xml:space="preserve">  </w:t>
      </w:r>
      <w:r>
        <w:rPr>
          <w:rFonts w:hint="eastAsia" w:ascii="宋体" w:hAnsi="宋体" w:eastAsia="宋体" w:cs="宋体"/>
          <w:szCs w:val="24"/>
        </w:rPr>
        <w:t>日以来</w:t>
      </w:r>
      <w:r>
        <w:rPr>
          <w:rFonts w:hint="eastAsia"/>
          <w:sz w:val="22"/>
          <w:szCs w:val="22"/>
          <w:shd w:val="pct10" w:color="auto" w:fill="FFFFFF"/>
        </w:rPr>
        <w:t>□</w:t>
      </w:r>
      <w:r>
        <w:rPr>
          <w:rFonts w:hint="eastAsia" w:ascii="宋体" w:hAnsi="宋体" w:eastAsia="宋体" w:cs="宋体"/>
          <w:color w:val="auto"/>
          <w:szCs w:val="24"/>
        </w:rPr>
        <w:t>承接过</w:t>
      </w:r>
      <w:r>
        <w:rPr>
          <w:rFonts w:ascii="宋体" w:hAnsi="宋体" w:eastAsia="宋体" w:cs="宋体"/>
          <w:color w:val="auto"/>
          <w:szCs w:val="24"/>
        </w:rPr>
        <w:t>/</w:t>
      </w:r>
      <w:r>
        <w:rPr>
          <w:rFonts w:hint="eastAsia"/>
          <w:sz w:val="22"/>
          <w:szCs w:val="22"/>
          <w:shd w:val="pct10" w:color="auto" w:fill="FFFFFF"/>
        </w:rPr>
        <w:t>□</w:t>
      </w:r>
      <w:r>
        <w:rPr>
          <w:rFonts w:hint="eastAsia" w:ascii="宋体" w:hAnsi="宋体" w:eastAsia="宋体" w:cs="宋体"/>
          <w:color w:val="auto"/>
          <w:szCs w:val="24"/>
        </w:rPr>
        <w:t>完成过</w:t>
      </w:r>
      <w:r>
        <w:rPr>
          <w:rFonts w:ascii="宋体" w:hAnsi="宋体" w:eastAsia="宋体" w:cs="宋体"/>
          <w:szCs w:val="24"/>
          <w:u w:val="single"/>
        </w:rPr>
        <w:tab/>
      </w:r>
      <w:r>
        <w:rPr>
          <w:rFonts w:ascii="宋体" w:hAnsi="宋体" w:eastAsia="宋体" w:cs="宋体"/>
          <w:szCs w:val="24"/>
          <w:u w:val="single"/>
        </w:rPr>
        <w:t xml:space="preserve">   </w:t>
      </w:r>
      <w:r>
        <w:rPr>
          <w:rFonts w:hint="eastAsia" w:ascii="宋体" w:hAnsi="宋体" w:eastAsia="宋体" w:cs="宋体"/>
          <w:szCs w:val="24"/>
          <w:u w:val="single"/>
          <w:lang w:val="en-US" w:eastAsia="zh-CN"/>
        </w:rPr>
        <w:t>/</w:t>
      </w:r>
      <w:r>
        <w:rPr>
          <w:rFonts w:ascii="宋体" w:hAnsi="宋体" w:eastAsia="宋体" w:cs="宋体"/>
          <w:szCs w:val="24"/>
          <w:u w:val="single"/>
        </w:rPr>
        <w:t xml:space="preserve">      </w:t>
      </w:r>
      <w:r>
        <w:rPr>
          <w:rFonts w:hint="eastAsia" w:ascii="宋体" w:hAnsi="宋体" w:eastAsia="宋体" w:cs="宋体"/>
          <w:szCs w:val="24"/>
        </w:rPr>
        <w:t>业绩；【业绩证明材料：</w:t>
      </w:r>
      <w:r>
        <w:rPr>
          <w:rFonts w:hint="eastAsia" w:ascii="宋体" w:hAnsi="宋体" w:eastAsia="宋体" w:cs="宋体"/>
          <w:i/>
          <w:iCs/>
          <w:szCs w:val="24"/>
          <w:u w:val="single"/>
        </w:rPr>
        <w:t>（发包人自行补充或修改要求）</w:t>
      </w:r>
      <w:r>
        <w:rPr>
          <w:rFonts w:hint="eastAsia" w:ascii="宋体" w:hAnsi="宋体" w:eastAsia="宋体" w:cs="宋体"/>
          <w:szCs w:val="24"/>
        </w:rPr>
        <w:t>】；</w:t>
      </w:r>
    </w:p>
    <w:p w14:paraId="60CC0F4D">
      <w:pPr>
        <w:pStyle w:val="8"/>
        <w:tabs>
          <w:tab w:val="left" w:pos="1343"/>
          <w:tab w:val="left" w:pos="2697"/>
          <w:tab w:val="left" w:pos="3264"/>
          <w:tab w:val="left" w:pos="4896"/>
          <w:tab w:val="left" w:pos="6005"/>
          <w:tab w:val="left" w:pos="7085"/>
          <w:tab w:val="left" w:pos="7498"/>
        </w:tabs>
        <w:adjustRightInd/>
        <w:snapToGrid/>
        <w:spacing w:line="400" w:lineRule="exact"/>
        <w:ind w:left="0" w:firstLine="480" w:firstLineChars="200"/>
        <w:jc w:val="both"/>
        <w:rPr>
          <w:rFonts w:ascii="宋体" w:hAnsi="宋体" w:eastAsia="宋体" w:cs="宋体"/>
          <w:szCs w:val="24"/>
        </w:rPr>
      </w:pPr>
      <w:r>
        <w:rPr>
          <w:rFonts w:ascii="宋体" w:hAnsi="宋体" w:eastAsia="宋体" w:cs="宋体"/>
          <w:color w:val="auto"/>
          <w:szCs w:val="24"/>
        </w:rPr>
        <w:t>3.4</w:t>
      </w:r>
      <w:r>
        <w:rPr>
          <w:rFonts w:hint="eastAsia" w:ascii="宋体" w:hAnsi="宋体" w:eastAsia="宋体" w:cs="宋体"/>
          <w:szCs w:val="24"/>
        </w:rPr>
        <w:t>本次发包</w:t>
      </w:r>
      <w:r>
        <w:rPr>
          <w:rFonts w:hint="eastAsia" w:asciiTheme="minorEastAsia" w:hAnsiTheme="minorEastAsia" w:eastAsiaTheme="minorEastAsia" w:cstheme="minorEastAsia"/>
          <w:color w:val="auto"/>
          <w:kern w:val="2"/>
          <w:szCs w:val="24"/>
          <w:lang w:eastAsia="zh-CN"/>
        </w:rPr>
        <w:t>不接受</w:t>
      </w:r>
      <w:r>
        <w:rPr>
          <w:rFonts w:hint="eastAsia" w:ascii="宋体" w:hAnsi="宋体" w:eastAsia="宋体" w:cs="宋体"/>
          <w:szCs w:val="24"/>
        </w:rPr>
        <w:t>联合体响应；</w:t>
      </w:r>
    </w:p>
    <w:p w14:paraId="00E24531">
      <w:pPr>
        <w:pStyle w:val="8"/>
        <w:tabs>
          <w:tab w:val="left" w:pos="1343"/>
          <w:tab w:val="left" w:pos="2697"/>
          <w:tab w:val="left" w:pos="3264"/>
          <w:tab w:val="left" w:pos="4896"/>
          <w:tab w:val="left" w:pos="6005"/>
          <w:tab w:val="left" w:pos="7085"/>
          <w:tab w:val="left" w:pos="7498"/>
        </w:tabs>
        <w:adjustRightInd/>
        <w:snapToGrid/>
        <w:spacing w:line="400" w:lineRule="exact"/>
        <w:ind w:left="0" w:firstLine="480" w:firstLineChars="200"/>
        <w:jc w:val="both"/>
        <w:rPr>
          <w:rFonts w:ascii="宋体" w:hAnsi="宋体" w:eastAsia="宋体" w:cs="宋体"/>
          <w:szCs w:val="24"/>
        </w:rPr>
      </w:pPr>
      <w:r>
        <w:rPr>
          <w:rFonts w:hint="eastAsia" w:ascii="宋体" w:hAnsi="宋体" w:eastAsia="宋体" w:cs="宋体"/>
          <w:szCs w:val="24"/>
        </w:rPr>
        <w:t>联合体响应的应满足下列要求：</w:t>
      </w:r>
      <w:r>
        <w:rPr>
          <w:rFonts w:ascii="宋体" w:hAnsi="宋体" w:eastAsia="宋体" w:cs="宋体"/>
          <w:szCs w:val="24"/>
          <w:u w:val="single"/>
        </w:rPr>
        <w:t xml:space="preserve">      </w:t>
      </w:r>
      <w:r>
        <w:rPr>
          <w:rFonts w:hint="eastAsia" w:ascii="宋体" w:hAnsi="宋体" w:eastAsia="宋体" w:cs="宋体"/>
          <w:szCs w:val="24"/>
          <w:u w:val="single"/>
          <w:lang w:val="en-US" w:eastAsia="zh-CN"/>
        </w:rPr>
        <w:t>/</w:t>
      </w:r>
      <w:r>
        <w:rPr>
          <w:rFonts w:ascii="宋体" w:hAnsi="宋体" w:eastAsia="宋体" w:cs="宋体"/>
          <w:szCs w:val="24"/>
          <w:u w:val="single"/>
        </w:rPr>
        <w:t xml:space="preserve">       </w:t>
      </w:r>
      <w:r>
        <w:rPr>
          <w:rFonts w:hint="eastAsia" w:ascii="宋体" w:hAnsi="宋体" w:eastAsia="宋体" w:cs="宋体"/>
          <w:szCs w:val="24"/>
        </w:rPr>
        <w:t>；</w:t>
      </w:r>
    </w:p>
    <w:p w14:paraId="4D29B730">
      <w:pPr>
        <w:tabs>
          <w:tab w:val="left" w:pos="1343"/>
          <w:tab w:val="left" w:pos="2697"/>
          <w:tab w:val="left" w:pos="3264"/>
          <w:tab w:val="left" w:pos="4896"/>
          <w:tab w:val="left" w:pos="6005"/>
          <w:tab w:val="left" w:pos="7085"/>
          <w:tab w:val="left" w:pos="7498"/>
        </w:tabs>
        <w:adjustRightInd/>
        <w:snapToGrid/>
        <w:ind w:firstLine="440" w:firstLineChars="200"/>
        <w:jc w:val="both"/>
        <w:rPr>
          <w:rFonts w:ascii="宋体" w:hAnsi="宋体" w:eastAsia="宋体" w:cs="宋体"/>
          <w:szCs w:val="24"/>
        </w:rPr>
      </w:pPr>
      <w:r>
        <w:rPr>
          <w:rFonts w:hint="eastAsia"/>
          <w:sz w:val="22"/>
          <w:szCs w:val="22"/>
          <w:shd w:val="pct10" w:color="auto" w:fill="FFFFFF"/>
        </w:rPr>
        <w:t>□</w:t>
      </w:r>
      <w:r>
        <w:rPr>
          <w:rFonts w:hint="eastAsia" w:ascii="宋体" w:hAnsi="宋体" w:eastAsia="宋体" w:cs="宋体"/>
          <w:color w:val="auto"/>
          <w:szCs w:val="24"/>
        </w:rPr>
        <w:t>3.5</w:t>
      </w:r>
      <w:r>
        <w:rPr>
          <w:rFonts w:hint="eastAsia" w:ascii="宋体" w:hAnsi="宋体" w:eastAsia="宋体" w:cs="宋体"/>
          <w:szCs w:val="24"/>
          <w:u w:val="single"/>
        </w:rPr>
        <w:t xml:space="preserve">  </w:t>
      </w:r>
      <w:r>
        <w:rPr>
          <w:rFonts w:hint="eastAsia" w:ascii="宋体" w:hAnsi="宋体" w:eastAsia="宋体" w:cs="宋体"/>
          <w:szCs w:val="24"/>
          <w:u w:val="single"/>
          <w:lang w:val="en-US" w:eastAsia="zh-CN"/>
        </w:rPr>
        <w:t xml:space="preserve">/  </w:t>
      </w:r>
      <w:r>
        <w:rPr>
          <w:rFonts w:hint="eastAsia" w:ascii="宋体" w:hAnsi="宋体" w:eastAsia="宋体" w:cs="宋体"/>
          <w:szCs w:val="24"/>
        </w:rPr>
        <w:t>；</w:t>
      </w:r>
    </w:p>
    <w:p w14:paraId="48AADC81">
      <w:pPr>
        <w:pStyle w:val="38"/>
        <w:ind w:firstLine="480"/>
        <w:rPr>
          <w:rFonts w:hAnsi="宋体" w:cs="宋体"/>
          <w:sz w:val="24"/>
          <w:szCs w:val="24"/>
        </w:rPr>
      </w:pPr>
      <w:r>
        <w:rPr>
          <w:rFonts w:hint="eastAsia" w:hAnsi="宋体" w:cs="宋体"/>
          <w:sz w:val="24"/>
          <w:szCs w:val="24"/>
        </w:rPr>
        <w:t>（二）拟派项目负责人：</w:t>
      </w:r>
    </w:p>
    <w:p w14:paraId="45F7F1E8">
      <w:pPr>
        <w:pStyle w:val="8"/>
        <w:tabs>
          <w:tab w:val="left" w:pos="1343"/>
          <w:tab w:val="left" w:pos="2697"/>
          <w:tab w:val="left" w:pos="3264"/>
          <w:tab w:val="left" w:pos="4896"/>
          <w:tab w:val="left" w:pos="6005"/>
          <w:tab w:val="left" w:pos="7085"/>
          <w:tab w:val="left" w:pos="7498"/>
        </w:tabs>
        <w:adjustRightInd/>
        <w:snapToGrid/>
        <w:spacing w:line="400" w:lineRule="exact"/>
        <w:ind w:left="0" w:firstLine="480" w:firstLineChars="200"/>
        <w:jc w:val="both"/>
        <w:rPr>
          <w:rFonts w:ascii="宋体" w:hAnsi="宋体" w:eastAsia="宋体" w:cs="宋体"/>
          <w:szCs w:val="24"/>
        </w:rPr>
      </w:pPr>
      <w:r>
        <w:rPr>
          <w:rFonts w:hint="eastAsia" w:ascii="宋体" w:hAnsi="宋体" w:eastAsia="宋体" w:cs="宋体"/>
          <w:color w:val="auto"/>
          <w:szCs w:val="24"/>
        </w:rPr>
        <w:t>3.6</w:t>
      </w:r>
      <w:r>
        <w:rPr>
          <w:rFonts w:hint="eastAsia" w:ascii="宋体" w:hAnsi="宋体" w:eastAsia="宋体" w:cs="宋体"/>
          <w:szCs w:val="24"/>
        </w:rPr>
        <w:t>拟派项目负责人具有注册在潜在承包人企业的</w:t>
      </w:r>
      <w:r>
        <w:rPr>
          <w:rFonts w:hint="eastAsia" w:ascii="宋体" w:hAnsi="宋体" w:eastAsia="宋体" w:cs="宋体"/>
          <w:szCs w:val="24"/>
          <w:u w:val="single"/>
          <w:lang w:val="en-US" w:eastAsia="zh-CN"/>
        </w:rPr>
        <w:t xml:space="preserve"> </w:t>
      </w:r>
      <w:r>
        <w:rPr>
          <w:rFonts w:hint="eastAsia" w:ascii="宋体" w:hAnsi="宋体" w:eastAsia="宋体" w:cs="宋体"/>
          <w:szCs w:val="24"/>
          <w:u w:val="single"/>
        </w:rPr>
        <w:t>机电工程二级及以上</w:t>
      </w:r>
      <w:r>
        <w:rPr>
          <w:rFonts w:hint="eastAsia" w:ascii="宋体" w:hAnsi="宋体" w:eastAsia="宋体" w:cs="宋体"/>
          <w:szCs w:val="24"/>
          <w:u w:val="single"/>
          <w:lang w:val="en-US" w:eastAsia="zh-CN"/>
        </w:rPr>
        <w:t xml:space="preserve"> </w:t>
      </w:r>
      <w:r>
        <w:rPr>
          <w:rFonts w:hint="eastAsia" w:ascii="宋体" w:hAnsi="宋体" w:eastAsia="宋体" w:cs="宋体"/>
          <w:szCs w:val="24"/>
        </w:rPr>
        <w:t>建造师执业资格，同时具有对应有效的安全生产考核合格证书；</w:t>
      </w:r>
    </w:p>
    <w:p w14:paraId="08A0BEDE">
      <w:pPr>
        <w:tabs>
          <w:tab w:val="left" w:pos="1343"/>
          <w:tab w:val="left" w:pos="2697"/>
          <w:tab w:val="left" w:pos="3264"/>
          <w:tab w:val="left" w:pos="4896"/>
          <w:tab w:val="left" w:pos="6005"/>
          <w:tab w:val="left" w:pos="7085"/>
          <w:tab w:val="left" w:pos="7498"/>
        </w:tabs>
        <w:adjustRightInd/>
        <w:snapToGrid/>
        <w:ind w:firstLine="440" w:firstLineChars="200"/>
        <w:jc w:val="both"/>
        <w:rPr>
          <w:rFonts w:ascii="宋体" w:hAnsi="宋体" w:eastAsia="宋体" w:cs="宋体"/>
          <w:szCs w:val="24"/>
        </w:rPr>
      </w:pPr>
      <w:r>
        <w:rPr>
          <w:rFonts w:hint="eastAsia"/>
          <w:sz w:val="22"/>
          <w:szCs w:val="22"/>
          <w:shd w:val="pct10" w:color="auto" w:fill="FFFFFF"/>
        </w:rPr>
        <w:t>■</w:t>
      </w:r>
      <w:r>
        <w:rPr>
          <w:rFonts w:hint="eastAsia" w:ascii="宋体" w:hAnsi="宋体" w:eastAsia="宋体" w:cs="宋体"/>
          <w:color w:val="auto"/>
          <w:szCs w:val="24"/>
        </w:rPr>
        <w:t>3.7</w:t>
      </w:r>
      <w:r>
        <w:rPr>
          <w:rFonts w:hint="eastAsia" w:ascii="宋体" w:hAnsi="宋体" w:eastAsia="宋体" w:cs="宋体"/>
          <w:szCs w:val="24"/>
        </w:rPr>
        <w:t>如在响应截止日存在有其他任何在建合同工程的，不得以拟派项目负责人的身份参加本次交易；</w:t>
      </w:r>
    </w:p>
    <w:p w14:paraId="451C6E82">
      <w:pPr>
        <w:tabs>
          <w:tab w:val="left" w:pos="1343"/>
          <w:tab w:val="left" w:pos="2697"/>
          <w:tab w:val="left" w:pos="3264"/>
          <w:tab w:val="left" w:pos="4896"/>
          <w:tab w:val="left" w:pos="6005"/>
          <w:tab w:val="left" w:pos="7085"/>
          <w:tab w:val="left" w:pos="7498"/>
        </w:tabs>
        <w:adjustRightInd/>
        <w:snapToGrid/>
        <w:ind w:firstLine="440" w:firstLineChars="200"/>
        <w:jc w:val="both"/>
        <w:rPr>
          <w:rFonts w:ascii="宋体" w:hAnsi="宋体" w:eastAsia="宋体" w:cs="宋体"/>
          <w:szCs w:val="24"/>
        </w:rPr>
      </w:pPr>
      <w:r>
        <w:rPr>
          <w:rFonts w:hint="eastAsia"/>
          <w:sz w:val="22"/>
          <w:szCs w:val="22"/>
          <w:shd w:val="pct10" w:color="auto" w:fill="FFFFFF"/>
        </w:rPr>
        <w:t>□</w:t>
      </w:r>
      <w:r>
        <w:rPr>
          <w:rFonts w:hint="eastAsia" w:ascii="宋体" w:hAnsi="宋体" w:eastAsia="宋体" w:cs="宋体"/>
          <w:color w:val="auto"/>
          <w:szCs w:val="24"/>
        </w:rPr>
        <w:t>3.8</w:t>
      </w:r>
      <w:r>
        <w:rPr>
          <w:rFonts w:hint="eastAsia" w:ascii="宋体" w:hAnsi="宋体" w:eastAsia="宋体" w:cs="宋体"/>
          <w:szCs w:val="24"/>
        </w:rPr>
        <w:t>项目经理需配合办理发包备案手续，具体要求：</w:t>
      </w:r>
      <w:r>
        <w:rPr>
          <w:rFonts w:hint="eastAsia" w:ascii="宋体" w:hAnsi="宋体" w:eastAsia="宋体" w:cs="宋体"/>
          <w:szCs w:val="24"/>
          <w:u w:val="single"/>
        </w:rPr>
        <w:t xml:space="preserve">     </w:t>
      </w:r>
      <w:r>
        <w:rPr>
          <w:rFonts w:hint="eastAsia" w:ascii="宋体" w:hAnsi="宋体" w:eastAsia="宋体" w:cs="宋体"/>
          <w:szCs w:val="24"/>
          <w:u w:val="single"/>
          <w:lang w:val="en-US" w:eastAsia="zh-CN"/>
        </w:rPr>
        <w:t>/</w:t>
      </w:r>
      <w:r>
        <w:rPr>
          <w:rFonts w:hint="eastAsia" w:ascii="宋体" w:hAnsi="宋体" w:eastAsia="宋体" w:cs="宋体"/>
          <w:szCs w:val="24"/>
          <w:u w:val="single"/>
        </w:rPr>
        <w:t xml:space="preserve">     </w:t>
      </w:r>
      <w:r>
        <w:rPr>
          <w:rFonts w:hint="eastAsia" w:ascii="宋体" w:hAnsi="宋体" w:eastAsia="宋体" w:cs="宋体"/>
          <w:szCs w:val="24"/>
        </w:rPr>
        <w:t>；</w:t>
      </w:r>
    </w:p>
    <w:p w14:paraId="0BD4805A">
      <w:pPr>
        <w:tabs>
          <w:tab w:val="left" w:pos="1343"/>
          <w:tab w:val="left" w:pos="2697"/>
          <w:tab w:val="left" w:pos="3264"/>
          <w:tab w:val="left" w:pos="4896"/>
          <w:tab w:val="left" w:pos="6005"/>
          <w:tab w:val="left" w:pos="7085"/>
          <w:tab w:val="left" w:pos="7498"/>
        </w:tabs>
        <w:adjustRightInd/>
        <w:snapToGrid/>
        <w:ind w:firstLine="440" w:firstLineChars="200"/>
        <w:jc w:val="both"/>
        <w:rPr>
          <w:rFonts w:ascii="宋体" w:hAnsi="宋体" w:eastAsia="宋体" w:cs="宋体"/>
          <w:szCs w:val="24"/>
        </w:rPr>
      </w:pPr>
      <w:r>
        <w:rPr>
          <w:rFonts w:hint="eastAsia"/>
          <w:sz w:val="22"/>
          <w:szCs w:val="22"/>
          <w:shd w:val="pct10" w:color="auto" w:fill="FFFFFF"/>
        </w:rPr>
        <w:t>□</w:t>
      </w:r>
      <w:r>
        <w:rPr>
          <w:rFonts w:hint="eastAsia" w:ascii="宋体" w:hAnsi="宋体" w:eastAsia="宋体" w:cs="宋体"/>
          <w:szCs w:val="24"/>
        </w:rPr>
        <w:t>3.9</w:t>
      </w:r>
      <w:r>
        <w:rPr>
          <w:rFonts w:hint="eastAsia" w:ascii="宋体" w:hAnsi="宋体" w:eastAsia="宋体" w:cs="宋体"/>
          <w:szCs w:val="24"/>
          <w:u w:val="single"/>
        </w:rPr>
        <w:t xml:space="preserve">    </w:t>
      </w:r>
      <w:r>
        <w:rPr>
          <w:rFonts w:hint="eastAsia" w:ascii="宋体" w:hAnsi="宋体" w:eastAsia="宋体" w:cs="宋体"/>
          <w:i/>
          <w:iCs/>
          <w:szCs w:val="24"/>
          <w:u w:val="single"/>
        </w:rPr>
        <w:t>（发包人需要增加的、符合法律法规的其他要求）</w:t>
      </w:r>
      <w:r>
        <w:rPr>
          <w:rFonts w:hint="eastAsia" w:ascii="宋体" w:hAnsi="宋体" w:eastAsia="宋体" w:cs="宋体"/>
          <w:szCs w:val="24"/>
        </w:rPr>
        <w:t>。</w:t>
      </w:r>
    </w:p>
    <w:p w14:paraId="53EEE109">
      <w:pPr>
        <w:pStyle w:val="19"/>
        <w:adjustRightInd/>
        <w:snapToGrid/>
        <w:spacing w:beforeAutospacing="0" w:afterAutospacing="0" w:line="400" w:lineRule="exact"/>
        <w:ind w:firstLine="480" w:firstLineChars="200"/>
        <w:rPr>
          <w:rFonts w:ascii="宋体" w:hAnsi="宋体" w:eastAsia="宋体" w:cs="宋体"/>
          <w:kern w:val="2"/>
          <w:szCs w:val="24"/>
        </w:rPr>
      </w:pPr>
      <w:r>
        <w:rPr>
          <w:rFonts w:hint="eastAsia" w:ascii="宋体" w:hAnsi="宋体" w:eastAsia="宋体" w:cs="宋体"/>
          <w:kern w:val="2"/>
          <w:szCs w:val="24"/>
        </w:rPr>
        <w:t>注：上述证明资料须齐全、有效，复印件应加盖潜在承包人单位公章，并在响应文件中提供。</w:t>
      </w:r>
    </w:p>
    <w:p w14:paraId="046CA93A">
      <w:pPr>
        <w:rPr>
          <w:rFonts w:ascii="Times New Roman" w:hAnsi="Times New Roman" w:eastAsia="宋体" w:cs="Times New Roman"/>
          <w:b/>
          <w:sz w:val="32"/>
          <w:szCs w:val="32"/>
        </w:rPr>
      </w:pPr>
      <w:r>
        <w:rPr>
          <w:rFonts w:ascii="Times New Roman" w:hAnsi="Times New Roman" w:eastAsia="宋体" w:cs="Times New Roman"/>
          <w:b/>
          <w:sz w:val="32"/>
          <w:szCs w:val="32"/>
        </w:rPr>
        <w:t>4.交易方式</w:t>
      </w:r>
    </w:p>
    <w:p w14:paraId="0DCA042A">
      <w:pPr>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本项目交易方式采用</w:t>
      </w:r>
      <w:r>
        <w:rPr>
          <w:rFonts w:hint="eastAsia" w:ascii="宋体" w:hAnsi="宋体" w:eastAsia="宋体"/>
          <w:szCs w:val="24"/>
          <w:lang w:eastAsia="zh-CN"/>
        </w:rPr>
        <w:t>公开竞标</w:t>
      </w:r>
      <w:r>
        <w:rPr>
          <w:rFonts w:ascii="Times New Roman" w:hAnsi="Times New Roman" w:eastAsia="宋体" w:cs="Times New Roman"/>
          <w:color w:val="auto"/>
          <w:szCs w:val="24"/>
        </w:rPr>
        <w:t>。</w:t>
      </w:r>
    </w:p>
    <w:p w14:paraId="236FB4CA">
      <w:pPr>
        <w:rPr>
          <w:rFonts w:ascii="Times New Roman" w:hAnsi="Times New Roman" w:eastAsia="宋体" w:cs="Times New Roman"/>
          <w:sz w:val="22"/>
          <w:szCs w:val="22"/>
        </w:rPr>
      </w:pPr>
      <w:r>
        <w:rPr>
          <w:rFonts w:ascii="Times New Roman" w:hAnsi="Times New Roman" w:eastAsia="宋体" w:cs="Times New Roman"/>
          <w:b/>
          <w:sz w:val="32"/>
          <w:szCs w:val="32"/>
        </w:rPr>
        <w:t>5.交易文件的获取</w:t>
      </w:r>
    </w:p>
    <w:p w14:paraId="3AABF333">
      <w:pPr>
        <w:pStyle w:val="44"/>
        <w:kinsoku/>
        <w:autoSpaceDE/>
        <w:autoSpaceDN/>
        <w:adjustRightInd/>
        <w:snapToGrid/>
        <w:spacing w:before="0" w:beforeAutospacing="0" w:after="0" w:afterAutospacing="0" w:line="360" w:lineRule="auto"/>
        <w:ind w:firstLine="480" w:firstLineChars="200"/>
        <w:jc w:val="both"/>
        <w:textAlignment w:val="auto"/>
        <w:rPr>
          <w:rFonts w:eastAsia="宋体"/>
          <w:szCs w:val="24"/>
        </w:rPr>
      </w:pPr>
      <w:r>
        <w:rPr>
          <w:rFonts w:eastAsia="宋体"/>
          <w:szCs w:val="24"/>
        </w:rPr>
        <w:t>5.1</w:t>
      </w:r>
      <w:r>
        <w:rPr>
          <w:rFonts w:hint="eastAsia" w:eastAsia="宋体"/>
          <w:szCs w:val="24"/>
        </w:rPr>
        <w:t>获取方式：</w:t>
      </w:r>
      <w:r>
        <w:rPr>
          <w:rFonts w:hint="eastAsia" w:eastAsia="宋体"/>
          <w:szCs w:val="24"/>
          <w:lang w:val="zh-CN"/>
        </w:rPr>
        <w:t>本项目</w:t>
      </w:r>
      <w:r>
        <w:rPr>
          <w:rFonts w:hint="eastAsia" w:eastAsia="宋体"/>
          <w:szCs w:val="24"/>
        </w:rPr>
        <w:t>交易</w:t>
      </w:r>
      <w:r>
        <w:rPr>
          <w:rFonts w:hint="eastAsia" w:eastAsia="宋体"/>
          <w:szCs w:val="24"/>
          <w:lang w:val="zh-CN"/>
        </w:rPr>
        <w:t>文件、相关技术资料和图纸、补充</w:t>
      </w:r>
      <w:r>
        <w:rPr>
          <w:rFonts w:hint="eastAsia" w:eastAsia="宋体"/>
          <w:szCs w:val="24"/>
        </w:rPr>
        <w:t>更正</w:t>
      </w:r>
      <w:r>
        <w:rPr>
          <w:rFonts w:hint="eastAsia" w:eastAsia="宋体"/>
          <w:szCs w:val="24"/>
          <w:lang w:val="zh-CN"/>
        </w:rPr>
        <w:t>文件</w:t>
      </w:r>
      <w:r>
        <w:rPr>
          <w:rFonts w:hint="eastAsia" w:eastAsia="宋体"/>
          <w:szCs w:val="24"/>
        </w:rPr>
        <w:t>（答疑、澄清）均</w:t>
      </w:r>
      <w:r>
        <w:rPr>
          <w:rFonts w:hint="eastAsia" w:eastAsia="宋体"/>
          <w:szCs w:val="24"/>
          <w:lang w:val="zh-CN"/>
        </w:rPr>
        <w:t>以网上下载方式</w:t>
      </w:r>
      <w:r>
        <w:rPr>
          <w:rFonts w:hint="eastAsia" w:eastAsia="宋体"/>
          <w:szCs w:val="24"/>
        </w:rPr>
        <w:t>发放，潜在承包人登录</w:t>
      </w:r>
      <w:r>
        <w:rPr>
          <w:rFonts w:hint="eastAsia" w:eastAsia="宋体"/>
          <w:color w:val="auto"/>
          <w:szCs w:val="24"/>
          <w:u w:val="single"/>
        </w:rPr>
        <w:t>招必得-建易招标采购平台（</w:t>
      </w:r>
      <w:r>
        <w:rPr>
          <w:rFonts w:eastAsia="宋体"/>
          <w:szCs w:val="24"/>
          <w:u w:val="single"/>
        </w:rPr>
        <w:t>https://www.zhaobide.com/</w:t>
      </w:r>
      <w:r>
        <w:rPr>
          <w:rFonts w:hint="eastAsia" w:eastAsia="宋体"/>
          <w:szCs w:val="24"/>
          <w:u w:val="single"/>
        </w:rPr>
        <w:t>）</w:t>
      </w:r>
      <w:r>
        <w:rPr>
          <w:rFonts w:hint="eastAsia" w:eastAsia="宋体"/>
          <w:szCs w:val="24"/>
        </w:rPr>
        <w:t>自行下载交易文件（潜在承包人</w:t>
      </w:r>
      <w:r>
        <w:rPr>
          <w:rFonts w:hint="eastAsia" w:eastAsia="宋体"/>
          <w:szCs w:val="24"/>
          <w:lang w:val="zh-CN"/>
        </w:rPr>
        <w:t>在网站公告页查看公告附件信息</w:t>
      </w:r>
      <w:r>
        <w:rPr>
          <w:rFonts w:hint="eastAsia" w:eastAsia="宋体"/>
          <w:szCs w:val="24"/>
        </w:rPr>
        <w:t>，交易</w:t>
      </w:r>
      <w:r>
        <w:rPr>
          <w:rFonts w:hint="eastAsia" w:eastAsia="宋体"/>
          <w:szCs w:val="24"/>
          <w:lang w:val="zh-CN"/>
        </w:rPr>
        <w:t>文件需登录后进行下载</w:t>
      </w:r>
      <w:r>
        <w:rPr>
          <w:rFonts w:hint="eastAsia" w:eastAsia="宋体"/>
          <w:szCs w:val="24"/>
        </w:rPr>
        <w:t>）；</w:t>
      </w:r>
    </w:p>
    <w:p w14:paraId="39386579">
      <w:pPr>
        <w:pStyle w:val="44"/>
        <w:kinsoku/>
        <w:autoSpaceDE/>
        <w:autoSpaceDN/>
        <w:adjustRightInd/>
        <w:snapToGrid/>
        <w:spacing w:before="0" w:beforeAutospacing="0" w:after="0" w:afterAutospacing="0" w:line="360" w:lineRule="auto"/>
        <w:ind w:firstLine="480" w:firstLineChars="200"/>
        <w:jc w:val="both"/>
        <w:textAlignment w:val="auto"/>
        <w:rPr>
          <w:rFonts w:eastAsia="宋体"/>
          <w:szCs w:val="24"/>
        </w:rPr>
      </w:pPr>
      <w:r>
        <w:rPr>
          <w:rFonts w:hint="eastAsia" w:eastAsia="宋体"/>
          <w:szCs w:val="24"/>
        </w:rPr>
        <w:t>5.2获取时间与提疑时间：见交易公告或响应邀请书；</w:t>
      </w:r>
    </w:p>
    <w:p w14:paraId="6004BE9B">
      <w:pPr>
        <w:spacing w:line="360" w:lineRule="auto"/>
        <w:ind w:firstLine="440" w:firstLineChars="200"/>
        <w:jc w:val="both"/>
        <w:rPr>
          <w:rFonts w:ascii="宋体" w:hAnsi="宋体" w:eastAsia="宋体" w:cs="宋体"/>
          <w:szCs w:val="24"/>
        </w:rPr>
      </w:pPr>
      <w:r>
        <w:rPr>
          <w:rFonts w:hint="eastAsia"/>
          <w:sz w:val="22"/>
          <w:szCs w:val="22"/>
          <w:shd w:val="pct10" w:color="auto" w:fill="FFFFFF"/>
        </w:rPr>
        <w:t>■</w:t>
      </w:r>
      <w:r>
        <w:rPr>
          <w:rFonts w:hint="eastAsia" w:ascii="宋体" w:hAnsi="宋体" w:eastAsia="宋体" w:cs="宋体"/>
          <w:bCs/>
          <w:kern w:val="2"/>
          <w:szCs w:val="24"/>
        </w:rPr>
        <w:t xml:space="preserve">5.3 </w:t>
      </w:r>
      <w:r>
        <w:rPr>
          <w:rFonts w:hint="eastAsia" w:ascii="宋体" w:hAnsi="宋体" w:eastAsia="宋体" w:cs="宋体"/>
          <w:color w:val="auto"/>
          <w:szCs w:val="24"/>
        </w:rPr>
        <w:t>发包人将对潜在承包人疑问作出统一的解答，并以补充更正文件的形式发出，截止时间</w:t>
      </w:r>
      <w:r>
        <w:rPr>
          <w:rFonts w:hint="eastAsia" w:ascii="宋体" w:hAnsi="宋体" w:eastAsia="宋体" w:cs="宋体"/>
          <w:szCs w:val="24"/>
        </w:rPr>
        <w:t>见交易公告</w:t>
      </w:r>
      <w:r>
        <w:rPr>
          <w:rFonts w:hint="eastAsia" w:ascii="宋体" w:hAnsi="宋体" w:eastAsia="宋体" w:cs="宋体"/>
          <w:color w:val="auto"/>
          <w:szCs w:val="24"/>
        </w:rPr>
        <w:t>（按前附表规定不作澄清或提疑的项目除外）。</w:t>
      </w:r>
    </w:p>
    <w:p w14:paraId="240F030C">
      <w:pPr>
        <w:pStyle w:val="44"/>
        <w:kinsoku/>
        <w:autoSpaceDE/>
        <w:autoSpaceDN/>
        <w:adjustRightInd/>
        <w:snapToGrid/>
        <w:spacing w:before="0" w:beforeAutospacing="0" w:after="0" w:afterAutospacing="0" w:line="360" w:lineRule="auto"/>
        <w:ind w:firstLine="480" w:firstLineChars="200"/>
        <w:jc w:val="both"/>
        <w:textAlignment w:val="auto"/>
        <w:rPr>
          <w:rFonts w:eastAsia="宋体"/>
          <w:szCs w:val="24"/>
        </w:rPr>
      </w:pPr>
      <w:r>
        <w:rPr>
          <w:rFonts w:eastAsia="宋体"/>
          <w:szCs w:val="24"/>
        </w:rPr>
        <w:t>5.</w:t>
      </w:r>
      <w:r>
        <w:rPr>
          <w:rFonts w:hint="eastAsia" w:eastAsia="宋体"/>
          <w:szCs w:val="24"/>
        </w:rPr>
        <w:t>4本项目相关公告在</w:t>
      </w:r>
      <w:r>
        <w:rPr>
          <w:rFonts w:hint="eastAsia" w:eastAsia="宋体"/>
          <w:b/>
          <w:bCs/>
          <w:szCs w:val="24"/>
          <w:u w:val="single"/>
        </w:rPr>
        <w:t>杭州城投采购平台（https://jczx.hzcjtz.com）</w:t>
      </w:r>
      <w:r>
        <w:rPr>
          <w:rFonts w:hint="eastAsia" w:eastAsia="宋体"/>
          <w:szCs w:val="24"/>
          <w:u w:val="single"/>
        </w:rPr>
        <w:t>、</w:t>
      </w:r>
      <w:r>
        <w:rPr>
          <w:rFonts w:hint="eastAsia" w:eastAsia="宋体"/>
          <w:b/>
          <w:bCs/>
          <w:color w:val="auto"/>
          <w:szCs w:val="24"/>
          <w:u w:val="single"/>
        </w:rPr>
        <w:t>招必得-建易招标采购平台（</w:t>
      </w:r>
      <w:r>
        <w:rPr>
          <w:rFonts w:eastAsia="宋体"/>
          <w:b/>
          <w:bCs/>
          <w:szCs w:val="24"/>
          <w:u w:val="single"/>
        </w:rPr>
        <w:t>https://www.zhaobide.com/</w:t>
      </w:r>
      <w:r>
        <w:rPr>
          <w:rFonts w:hint="eastAsia" w:eastAsia="宋体"/>
          <w:b/>
          <w:bCs/>
          <w:szCs w:val="24"/>
          <w:u w:val="single"/>
        </w:rPr>
        <w:t>）、浙江企业采购信息服务网发布（https://b.zhengcaiyun.cn/）、中国招标投标公共服务平台（http://www.cebpubservice.com/）、杭州市环境集团有限公司网站（https://www.cnlandfill.net/index.aspx）、杭州临江环境能源有限公司网站（https://www.ljhjny.com/）</w:t>
      </w:r>
      <w:r>
        <w:rPr>
          <w:rFonts w:hint="eastAsia" w:eastAsia="宋体"/>
          <w:szCs w:val="24"/>
        </w:rPr>
        <w:t>发布，如公告内容不一致的以</w:t>
      </w:r>
      <w:r>
        <w:rPr>
          <w:rFonts w:hint="eastAsia" w:eastAsia="宋体"/>
          <w:color w:val="auto"/>
          <w:szCs w:val="24"/>
        </w:rPr>
        <w:t>招必得-建易招标采购平台</w:t>
      </w:r>
      <w:r>
        <w:rPr>
          <w:rFonts w:hint="eastAsia" w:eastAsia="宋体"/>
          <w:szCs w:val="24"/>
        </w:rPr>
        <w:t>（https://www.zhaobide.com/）发布的信息为准。</w:t>
      </w:r>
    </w:p>
    <w:p w14:paraId="5DB8B437">
      <w:pPr>
        <w:rPr>
          <w:rFonts w:ascii="Times New Roman" w:hAnsi="Times New Roman" w:eastAsia="宋体" w:cs="Times New Roman"/>
          <w:b/>
          <w:sz w:val="32"/>
          <w:szCs w:val="32"/>
        </w:rPr>
      </w:pPr>
      <w:r>
        <w:rPr>
          <w:rFonts w:ascii="Times New Roman" w:hAnsi="Times New Roman" w:eastAsia="宋体" w:cs="Times New Roman"/>
          <w:b/>
          <w:sz w:val="32"/>
          <w:szCs w:val="32"/>
        </w:rPr>
        <w:t>6.响应文件的递交</w:t>
      </w:r>
    </w:p>
    <w:p w14:paraId="2C88DA43">
      <w:pPr>
        <w:pStyle w:val="44"/>
        <w:kinsoku/>
        <w:autoSpaceDE/>
        <w:autoSpaceDN/>
        <w:adjustRightInd/>
        <w:snapToGrid/>
        <w:spacing w:before="0" w:beforeAutospacing="0" w:after="0" w:afterAutospacing="0" w:line="400" w:lineRule="exact"/>
        <w:ind w:firstLine="480" w:firstLineChars="200"/>
        <w:jc w:val="both"/>
        <w:textAlignment w:val="auto"/>
        <w:rPr>
          <w:rFonts w:eastAsia="宋体"/>
          <w:szCs w:val="24"/>
        </w:rPr>
      </w:pPr>
      <w:r>
        <w:rPr>
          <w:rFonts w:hint="eastAsia" w:eastAsia="宋体"/>
          <w:szCs w:val="24"/>
        </w:rPr>
        <w:t>6.1响应</w:t>
      </w:r>
      <w:r>
        <w:rPr>
          <w:rFonts w:hint="eastAsia" w:eastAsia="宋体"/>
          <w:szCs w:val="24"/>
          <w:lang w:val="zh-CN"/>
        </w:rPr>
        <w:t>文件递交截止时间</w:t>
      </w:r>
      <w:r>
        <w:rPr>
          <w:rFonts w:hint="eastAsia" w:eastAsia="宋体"/>
          <w:bCs/>
          <w:szCs w:val="24"/>
        </w:rPr>
        <w:t>（投标截止时间）</w:t>
      </w:r>
      <w:r>
        <w:rPr>
          <w:rFonts w:hint="eastAsia" w:eastAsia="宋体"/>
          <w:szCs w:val="24"/>
        </w:rPr>
        <w:t>：见交易公告或响应邀请书；开标时间：见交易公告或响应邀请书</w:t>
      </w:r>
      <w:r>
        <w:rPr>
          <w:rFonts w:hint="eastAsia" w:eastAsia="宋体"/>
          <w:color w:val="auto"/>
          <w:szCs w:val="24"/>
        </w:rPr>
        <w:t>。</w:t>
      </w:r>
    </w:p>
    <w:p w14:paraId="0402390E">
      <w:pPr>
        <w:pStyle w:val="19"/>
        <w:kinsoku/>
        <w:autoSpaceDE/>
        <w:autoSpaceDN/>
        <w:adjustRightInd/>
        <w:snapToGrid/>
        <w:spacing w:beforeAutospacing="0" w:afterAutospacing="0" w:line="400" w:lineRule="exact"/>
        <w:ind w:firstLine="480" w:firstLineChars="200"/>
        <w:textAlignment w:val="auto"/>
        <w:rPr>
          <w:rFonts w:ascii="宋体" w:hAnsi="宋体" w:eastAsia="宋体" w:cs="宋体"/>
          <w:szCs w:val="24"/>
        </w:rPr>
      </w:pPr>
      <w:r>
        <w:rPr>
          <w:rFonts w:ascii="宋体" w:hAnsi="宋体" w:eastAsia="宋体" w:cs="宋体"/>
          <w:color w:val="auto"/>
          <w:szCs w:val="24"/>
        </w:rPr>
        <w:t>6.2</w:t>
      </w:r>
      <w:r>
        <w:rPr>
          <w:rFonts w:hint="eastAsia" w:ascii="宋体" w:hAnsi="宋体" w:eastAsia="宋体" w:cs="宋体"/>
          <w:color w:val="auto"/>
          <w:szCs w:val="24"/>
        </w:rPr>
        <w:t>交易担保交纳</w:t>
      </w:r>
      <w:r>
        <w:rPr>
          <w:rFonts w:hint="eastAsia" w:ascii="宋体" w:hAnsi="宋体" w:eastAsia="宋体" w:cs="宋体"/>
          <w:szCs w:val="24"/>
        </w:rPr>
        <w:t>：</w:t>
      </w:r>
      <w:r>
        <w:rPr>
          <w:rFonts w:hint="eastAsia" w:ascii="宋体" w:hAnsi="宋体" w:eastAsia="宋体" w:cs="宋体"/>
          <w:bCs/>
          <w:szCs w:val="24"/>
        </w:rPr>
        <w:t>本项目</w:t>
      </w:r>
      <w:r>
        <w:rPr>
          <w:rFonts w:hint="eastAsia" w:asciiTheme="minorEastAsia" w:hAnsiTheme="minorEastAsia" w:eastAsiaTheme="minorEastAsia" w:cstheme="minorEastAsia"/>
          <w:szCs w:val="24"/>
          <w:u w:val="single"/>
          <w:lang w:eastAsia="zh-CN"/>
        </w:rPr>
        <w:t>需要</w:t>
      </w:r>
      <w:r>
        <w:rPr>
          <w:rFonts w:hint="eastAsia" w:ascii="宋体" w:hAnsi="宋体" w:eastAsia="宋体" w:cs="宋体"/>
          <w:bCs/>
          <w:szCs w:val="24"/>
        </w:rPr>
        <w:t>交纳</w:t>
      </w:r>
      <w:r>
        <w:rPr>
          <w:rFonts w:hint="eastAsia" w:ascii="宋体" w:hAnsi="宋体" w:eastAsia="宋体" w:cs="宋体"/>
          <w:color w:val="auto"/>
          <w:szCs w:val="24"/>
        </w:rPr>
        <w:t>交易担保</w:t>
      </w:r>
      <w:r>
        <w:rPr>
          <w:rFonts w:hint="eastAsia" w:ascii="宋体" w:hAnsi="宋体" w:eastAsia="宋体" w:cs="宋体"/>
          <w:bCs/>
          <w:szCs w:val="24"/>
        </w:rPr>
        <w:t>。交纳截止期限：见交易公告或响应邀请书；交纳</w:t>
      </w:r>
      <w:r>
        <w:rPr>
          <w:rFonts w:hint="eastAsia" w:ascii="宋体" w:hAnsi="宋体" w:eastAsia="宋体" w:cs="宋体"/>
          <w:color w:val="auto"/>
          <w:szCs w:val="24"/>
        </w:rPr>
        <w:t>担保</w:t>
      </w:r>
      <w:r>
        <w:rPr>
          <w:rFonts w:hint="eastAsia" w:ascii="宋体" w:hAnsi="宋体" w:eastAsia="宋体" w:cs="宋体"/>
          <w:szCs w:val="24"/>
        </w:rPr>
        <w:t>的具体要求详见交易文件前附表；</w:t>
      </w:r>
    </w:p>
    <w:p w14:paraId="74C49CC7">
      <w:pPr>
        <w:pStyle w:val="44"/>
        <w:kinsoku/>
        <w:autoSpaceDE/>
        <w:autoSpaceDN/>
        <w:adjustRightInd/>
        <w:snapToGrid/>
        <w:spacing w:before="0" w:beforeAutospacing="0" w:after="0" w:afterAutospacing="0" w:line="400" w:lineRule="exact"/>
        <w:ind w:firstLine="480" w:firstLineChars="200"/>
        <w:jc w:val="both"/>
        <w:textAlignment w:val="auto"/>
        <w:rPr>
          <w:rFonts w:eastAsia="宋体"/>
          <w:szCs w:val="24"/>
        </w:rPr>
      </w:pPr>
      <w:r>
        <w:rPr>
          <w:rFonts w:hint="eastAsia" w:eastAsia="宋体"/>
          <w:szCs w:val="24"/>
        </w:rPr>
        <w:t>6.3响应文件递交方式：</w:t>
      </w:r>
    </w:p>
    <w:p w14:paraId="75AC9BB2">
      <w:pPr>
        <w:pStyle w:val="44"/>
        <w:kinsoku/>
        <w:autoSpaceDE/>
        <w:autoSpaceDN/>
        <w:adjustRightInd/>
        <w:snapToGrid/>
        <w:spacing w:before="0" w:beforeAutospacing="0" w:after="0" w:afterAutospacing="0" w:line="400" w:lineRule="exact"/>
        <w:ind w:firstLine="482" w:firstLineChars="200"/>
        <w:jc w:val="both"/>
        <w:textAlignment w:val="auto"/>
        <w:rPr>
          <w:rFonts w:eastAsia="宋体"/>
          <w:b/>
          <w:bCs/>
          <w:szCs w:val="24"/>
        </w:rPr>
      </w:pPr>
      <w:r>
        <w:rPr>
          <w:rFonts w:hint="eastAsia" w:eastAsia="宋体"/>
          <w:b/>
          <w:bCs/>
          <w:szCs w:val="24"/>
        </w:rPr>
        <w:t>线上递交（电子标）：本项目采用电子招投标交易方式，潜在承包人在响应文件递交截止时间前使用专用密钥加密上传电子响应文件至招必得-建易招标采购平台（https://www.zhaobide.com/）；开标</w:t>
      </w:r>
      <w:r>
        <w:rPr>
          <w:rFonts w:hint="eastAsia" w:eastAsia="宋体"/>
          <w:b/>
          <w:bCs/>
          <w:kern w:val="2"/>
          <w:szCs w:val="24"/>
        </w:rPr>
        <w:t>直播平台</w:t>
      </w:r>
      <w:r>
        <w:rPr>
          <w:rFonts w:hint="eastAsia" w:eastAsia="宋体"/>
          <w:b/>
          <w:bCs/>
          <w:szCs w:val="24"/>
        </w:rPr>
        <w:t>为</w:t>
      </w:r>
      <w:r>
        <w:rPr>
          <w:rFonts w:hint="eastAsia" w:eastAsia="宋体"/>
          <w:b/>
          <w:bCs/>
          <w:color w:val="auto"/>
          <w:szCs w:val="24"/>
        </w:rPr>
        <w:t>招必得-建易招标采购平台，</w:t>
      </w:r>
      <w:r>
        <w:rPr>
          <w:rFonts w:hint="eastAsia" w:eastAsia="宋体"/>
          <w:b/>
          <w:bCs/>
          <w:szCs w:val="24"/>
        </w:rPr>
        <w:t>潜在承包人代表无需到场。</w:t>
      </w:r>
    </w:p>
    <w:p w14:paraId="63757D6C">
      <w:pPr>
        <w:pStyle w:val="44"/>
        <w:kinsoku/>
        <w:autoSpaceDE/>
        <w:autoSpaceDN/>
        <w:adjustRightInd/>
        <w:snapToGrid/>
        <w:spacing w:before="0" w:beforeAutospacing="0" w:after="0" w:afterAutospacing="0" w:line="400" w:lineRule="exact"/>
        <w:ind w:firstLine="482" w:firstLineChars="200"/>
        <w:jc w:val="both"/>
        <w:textAlignment w:val="auto"/>
        <w:rPr>
          <w:rFonts w:eastAsia="宋体"/>
          <w:szCs w:val="24"/>
        </w:rPr>
      </w:pPr>
      <w:r>
        <w:rPr>
          <w:rFonts w:hint="eastAsia" w:eastAsia="宋体"/>
          <w:b/>
          <w:bCs/>
          <w:szCs w:val="24"/>
        </w:rPr>
        <w:t>电子标交易的说明：①注册登记及认证：</w:t>
      </w:r>
      <w:r>
        <w:rPr>
          <w:rFonts w:hint="eastAsia" w:eastAsia="宋体"/>
          <w:szCs w:val="24"/>
        </w:rPr>
        <w:t>首次参加招必得-建易招标采购平台交易的潜在承包人，应于响应文件递交截止日前（法定公休日、法定节假日除外）完成“招必得-建易招标采购平台”注册登记和企业信息认证。</w:t>
      </w:r>
      <w:r>
        <w:rPr>
          <w:rFonts w:hint="eastAsia" w:eastAsia="宋体"/>
          <w:b/>
          <w:bCs/>
          <w:szCs w:val="24"/>
        </w:rPr>
        <w:t>②申领CA数字证书：</w:t>
      </w:r>
      <w:r>
        <w:rPr>
          <w:rFonts w:hint="eastAsia" w:eastAsia="宋体"/>
          <w:szCs w:val="24"/>
        </w:rPr>
        <w:t>取得CA数字证书后在系统里绑定，方可制作响应文件、参加交易活动（仅递交方式为“线上递交”的项目需要使用CA锁）；若已有杭州市公共资源交易中心天谷CA锁，不用重复办理（天谷CA办理客服电话：400-0878-198，QQ：2330352291）。</w:t>
      </w:r>
      <w:r>
        <w:rPr>
          <w:rFonts w:hint="eastAsia" w:eastAsia="宋体"/>
          <w:b/>
          <w:bCs/>
          <w:szCs w:val="24"/>
        </w:rPr>
        <w:t>③下载制作工具：</w:t>
      </w:r>
      <w:r>
        <w:rPr>
          <w:rFonts w:hint="eastAsia" w:eastAsia="宋体"/>
          <w:szCs w:val="24"/>
        </w:rPr>
        <w:t>在“招必得平台”首页&gt;工具下载页面，下载安装最新版“招必得-投标工具”（仅递交方式为“线上递交”的项目需要使用投标工具）。若对项目电子交易系统操作有疑问，可联系招必得平台客服（客服电话：400-0666-571，QQ：3007923378）。</w:t>
      </w:r>
    </w:p>
    <w:p w14:paraId="5D8DC024">
      <w:pPr>
        <w:kinsoku/>
        <w:autoSpaceDE/>
        <w:autoSpaceDN/>
        <w:adjustRightInd/>
        <w:snapToGrid/>
        <w:spacing w:line="400" w:lineRule="exact"/>
        <w:ind w:firstLine="440" w:firstLineChars="200"/>
        <w:jc w:val="both"/>
        <w:textAlignment w:val="auto"/>
        <w:rPr>
          <w:rFonts w:ascii="Times New Roman" w:hAnsi="Times New Roman" w:cs="Times New Roman"/>
          <w:sz w:val="22"/>
          <w:szCs w:val="22"/>
        </w:rPr>
      </w:pPr>
    </w:p>
    <w:p w14:paraId="33BB0A2C">
      <w:pPr>
        <w:rPr>
          <w:rFonts w:ascii="Times New Roman" w:hAnsi="Times New Roman" w:eastAsia="宋体" w:cs="Times New Roman"/>
          <w:b/>
          <w:sz w:val="32"/>
          <w:szCs w:val="32"/>
        </w:rPr>
      </w:pPr>
      <w:r>
        <w:rPr>
          <w:rFonts w:ascii="Times New Roman" w:hAnsi="Times New Roman" w:eastAsia="宋体" w:cs="Times New Roman"/>
          <w:b/>
          <w:sz w:val="32"/>
          <w:szCs w:val="32"/>
        </w:rPr>
        <w:t>7.联系方式</w:t>
      </w:r>
    </w:p>
    <w:p w14:paraId="64C25132">
      <w:pPr>
        <w:pStyle w:val="8"/>
        <w:tabs>
          <w:tab w:val="left" w:pos="4228"/>
          <w:tab w:val="left" w:pos="7975"/>
        </w:tabs>
        <w:autoSpaceDE/>
        <w:autoSpaceDN/>
        <w:adjustRightInd/>
        <w:snapToGrid/>
        <w:spacing w:line="400" w:lineRule="exact"/>
        <w:ind w:left="0" w:firstLine="480" w:firstLineChars="200"/>
        <w:jc w:val="both"/>
        <w:textAlignment w:val="auto"/>
        <w:rPr>
          <w:rFonts w:asciiTheme="minorEastAsia" w:hAnsiTheme="minorEastAsia" w:eastAsiaTheme="minorEastAsia" w:cstheme="minorEastAsia"/>
          <w:szCs w:val="24"/>
          <w:u w:val="single"/>
        </w:rPr>
      </w:pPr>
      <w:r>
        <w:rPr>
          <w:rFonts w:hint="eastAsia" w:asciiTheme="minorEastAsia" w:hAnsiTheme="minorEastAsia" w:eastAsiaTheme="minorEastAsia" w:cstheme="minorEastAsia"/>
          <w:szCs w:val="24"/>
        </w:rPr>
        <w:t>发</w:t>
      </w:r>
      <w:r>
        <w:rPr>
          <w:rFonts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4"/>
        </w:rPr>
        <w:t>包</w:t>
      </w:r>
      <w:r>
        <w:rPr>
          <w:rFonts w:asciiTheme="minorEastAsia" w:hAnsiTheme="minorEastAsia" w:eastAsiaTheme="minorEastAsia" w:cstheme="minorEastAsia"/>
          <w:spacing w:val="2"/>
          <w:szCs w:val="24"/>
        </w:rPr>
        <w:t xml:space="preserve"> </w:t>
      </w:r>
      <w:r>
        <w:rPr>
          <w:rFonts w:hint="eastAsia" w:asciiTheme="minorEastAsia" w:hAnsiTheme="minorEastAsia" w:eastAsiaTheme="minorEastAsia" w:cstheme="minorEastAsia"/>
          <w:szCs w:val="24"/>
        </w:rPr>
        <w:t>人：</w:t>
      </w:r>
      <w:r>
        <w:rPr>
          <w:rFonts w:hint="eastAsia" w:asciiTheme="minorEastAsia" w:hAnsiTheme="minorEastAsia" w:eastAsiaTheme="minorEastAsia" w:cstheme="minorEastAsia"/>
          <w:color w:val="auto"/>
          <w:szCs w:val="24"/>
          <w:u w:val="single"/>
          <w:lang w:eastAsia="zh-CN"/>
        </w:rPr>
        <w:t>杭州临江环境能源有限公司</w:t>
      </w:r>
      <w:r>
        <w:rPr>
          <w:rFonts w:asciiTheme="minorEastAsia" w:hAnsiTheme="minorEastAsia" w:eastAsiaTheme="minorEastAsia" w:cstheme="minorEastAsia"/>
          <w:szCs w:val="24"/>
        </w:rPr>
        <w:t xml:space="preserve"> </w:t>
      </w:r>
    </w:p>
    <w:p w14:paraId="36607CFD">
      <w:pPr>
        <w:pStyle w:val="8"/>
        <w:tabs>
          <w:tab w:val="left" w:pos="4228"/>
          <w:tab w:val="left" w:pos="7975"/>
        </w:tabs>
        <w:autoSpaceDE/>
        <w:autoSpaceDN/>
        <w:adjustRightInd/>
        <w:snapToGrid/>
        <w:spacing w:line="400" w:lineRule="exact"/>
        <w:ind w:left="0" w:firstLine="480" w:firstLineChars="200"/>
        <w:jc w:val="both"/>
        <w:textAlignment w:val="auto"/>
        <w:rPr>
          <w:rFonts w:asciiTheme="minorEastAsia" w:hAnsiTheme="minorEastAsia" w:eastAsiaTheme="minorEastAsia" w:cstheme="minorEastAsia"/>
          <w:w w:val="28"/>
          <w:szCs w:val="24"/>
          <w:u w:val="single"/>
        </w:rPr>
      </w:pPr>
      <w:r>
        <w:rPr>
          <w:rFonts w:hint="eastAsia" w:asciiTheme="minorEastAsia" w:hAnsiTheme="minorEastAsia" w:eastAsiaTheme="minorEastAsia" w:cstheme="minorEastAsia"/>
          <w:szCs w:val="24"/>
        </w:rPr>
        <w:t>地</w:t>
      </w:r>
      <w:r>
        <w:rPr>
          <w:rFonts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4"/>
        </w:rPr>
        <w:t>址：</w:t>
      </w:r>
      <w:r>
        <w:rPr>
          <w:rFonts w:hint="eastAsia" w:asciiTheme="minorEastAsia" w:hAnsiTheme="minorEastAsia" w:eastAsiaTheme="minorEastAsia" w:cstheme="minorEastAsia"/>
          <w:color w:val="auto"/>
          <w:szCs w:val="24"/>
          <w:u w:val="single"/>
          <w:lang w:eastAsia="zh-CN"/>
        </w:rPr>
        <w:t>浙江省杭州市钱塘区临江街道红十五路 10388-123 号</w:t>
      </w:r>
      <w:r>
        <w:rPr>
          <w:rFonts w:asciiTheme="minorEastAsia" w:hAnsiTheme="minorEastAsia" w:eastAsiaTheme="minorEastAsia" w:cstheme="minorEastAsia"/>
          <w:szCs w:val="24"/>
        </w:rPr>
        <w:t xml:space="preserve"> </w:t>
      </w:r>
    </w:p>
    <w:p w14:paraId="7FF833B7">
      <w:pPr>
        <w:pStyle w:val="8"/>
        <w:tabs>
          <w:tab w:val="left" w:pos="4228"/>
          <w:tab w:val="left" w:pos="7975"/>
        </w:tabs>
        <w:autoSpaceDE/>
        <w:autoSpaceDN/>
        <w:adjustRightInd/>
        <w:snapToGrid/>
        <w:spacing w:line="400" w:lineRule="exact"/>
        <w:ind w:left="0" w:firstLine="480" w:firstLineChars="200"/>
        <w:jc w:val="both"/>
        <w:textAlignment w:val="auto"/>
        <w:rPr>
          <w:rFonts w:asciiTheme="minorEastAsia" w:hAnsiTheme="minorEastAsia" w:eastAsiaTheme="minorEastAsia" w:cstheme="minorEastAsia"/>
          <w:w w:val="28"/>
          <w:szCs w:val="24"/>
          <w:u w:val="single"/>
        </w:rPr>
      </w:pPr>
      <w:r>
        <w:rPr>
          <w:rFonts w:hint="eastAsia" w:asciiTheme="minorEastAsia" w:hAnsiTheme="minorEastAsia" w:eastAsiaTheme="minorEastAsia" w:cstheme="minorEastAsia"/>
          <w:szCs w:val="24"/>
        </w:rPr>
        <w:t>联</w:t>
      </w:r>
      <w:r>
        <w:rPr>
          <w:rFonts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4"/>
        </w:rPr>
        <w:t>系</w:t>
      </w:r>
      <w:r>
        <w:rPr>
          <w:rFonts w:asciiTheme="minorEastAsia" w:hAnsiTheme="minorEastAsia" w:eastAsiaTheme="minorEastAsia" w:cstheme="minorEastAsia"/>
          <w:spacing w:val="2"/>
          <w:szCs w:val="24"/>
        </w:rPr>
        <w:t xml:space="preserve"> </w:t>
      </w:r>
      <w:r>
        <w:rPr>
          <w:rFonts w:hint="eastAsia" w:asciiTheme="minorEastAsia" w:hAnsiTheme="minorEastAsia" w:eastAsiaTheme="minorEastAsia" w:cstheme="minorEastAsia"/>
          <w:szCs w:val="24"/>
        </w:rPr>
        <w:t>人：</w:t>
      </w:r>
      <w:r>
        <w:rPr>
          <w:rFonts w:hint="eastAsia" w:asciiTheme="minorEastAsia" w:hAnsiTheme="minorEastAsia" w:eastAsiaTheme="minorEastAsia" w:cstheme="minorEastAsia"/>
          <w:color w:val="auto"/>
          <w:szCs w:val="24"/>
          <w:u w:val="single"/>
          <w:lang w:eastAsia="zh-CN"/>
        </w:rPr>
        <w:t>胡工</w:t>
      </w:r>
      <w:r>
        <w:rPr>
          <w:rFonts w:asciiTheme="minorEastAsia" w:hAnsiTheme="minorEastAsia" w:eastAsiaTheme="minorEastAsia" w:cstheme="minorEastAsia"/>
          <w:szCs w:val="24"/>
        </w:rPr>
        <w:t xml:space="preserve"> </w:t>
      </w:r>
    </w:p>
    <w:p w14:paraId="1F9190D4">
      <w:pPr>
        <w:pStyle w:val="8"/>
        <w:tabs>
          <w:tab w:val="left" w:pos="4228"/>
          <w:tab w:val="left" w:pos="7975"/>
        </w:tabs>
        <w:autoSpaceDE/>
        <w:autoSpaceDN/>
        <w:adjustRightInd/>
        <w:snapToGrid/>
        <w:spacing w:line="400" w:lineRule="exact"/>
        <w:ind w:left="0" w:firstLine="480" w:firstLineChars="200"/>
        <w:jc w:val="both"/>
        <w:textAlignment w:val="auto"/>
        <w:rPr>
          <w:rFonts w:asciiTheme="minorEastAsia" w:hAnsiTheme="minorEastAsia" w:eastAsiaTheme="minorEastAsia" w:cstheme="minorEastAsia"/>
          <w:w w:val="28"/>
          <w:szCs w:val="24"/>
          <w:u w:val="single"/>
        </w:rPr>
      </w:pPr>
      <w:r>
        <w:rPr>
          <w:rFonts w:hint="eastAsia" w:asciiTheme="minorEastAsia" w:hAnsiTheme="minorEastAsia" w:eastAsiaTheme="minorEastAsia" w:cstheme="minorEastAsia"/>
          <w:szCs w:val="24"/>
        </w:rPr>
        <w:t>电</w:t>
      </w:r>
      <w:r>
        <w:rPr>
          <w:rFonts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4"/>
        </w:rPr>
        <w:t>话：</w:t>
      </w:r>
      <w:r>
        <w:rPr>
          <w:rFonts w:hint="eastAsia" w:asciiTheme="minorEastAsia" w:hAnsiTheme="minorEastAsia" w:eastAsiaTheme="minorEastAsia" w:cstheme="minorEastAsia"/>
          <w:color w:val="auto"/>
          <w:szCs w:val="24"/>
          <w:u w:val="single"/>
          <w:lang w:eastAsia="zh-CN"/>
        </w:rPr>
        <w:t>0571-81997921</w:t>
      </w:r>
      <w:r>
        <w:rPr>
          <w:rFonts w:asciiTheme="minorEastAsia" w:hAnsiTheme="minorEastAsia" w:eastAsiaTheme="minorEastAsia" w:cstheme="minorEastAsia"/>
          <w:szCs w:val="24"/>
        </w:rPr>
        <w:t xml:space="preserve"> </w:t>
      </w:r>
    </w:p>
    <w:p w14:paraId="0A94B147">
      <w:pPr>
        <w:pStyle w:val="20"/>
        <w:ind w:firstLine="240"/>
        <w:rPr>
          <w:rFonts w:asciiTheme="minorEastAsia" w:hAnsiTheme="minorEastAsia" w:eastAsiaTheme="minorEastAsia" w:cstheme="minorEastAsia"/>
          <w:szCs w:val="24"/>
        </w:rPr>
      </w:pPr>
    </w:p>
    <w:p w14:paraId="3D7890CB">
      <w:pPr>
        <w:pStyle w:val="8"/>
        <w:rPr>
          <w:rFonts w:asciiTheme="minorEastAsia" w:hAnsiTheme="minorEastAsia" w:eastAsiaTheme="minorEastAsia" w:cstheme="minorEastAsia"/>
          <w:szCs w:val="24"/>
        </w:rPr>
      </w:pPr>
    </w:p>
    <w:p w14:paraId="697402A5">
      <w:pPr>
        <w:pStyle w:val="20"/>
        <w:ind w:left="0"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代</w:t>
      </w:r>
      <w:r>
        <w:rPr>
          <w:rFonts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4"/>
        </w:rPr>
        <w:t>理</w:t>
      </w:r>
      <w:r>
        <w:rPr>
          <w:rFonts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4"/>
        </w:rPr>
        <w:t>机</w:t>
      </w:r>
      <w:r>
        <w:rPr>
          <w:rFonts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4"/>
        </w:rPr>
        <w:t>构：</w:t>
      </w:r>
      <w:r>
        <w:rPr>
          <w:rFonts w:hint="eastAsia" w:asciiTheme="minorEastAsia" w:hAnsiTheme="minorEastAsia" w:eastAsiaTheme="minorEastAsia" w:cstheme="minorEastAsia"/>
          <w:color w:val="auto"/>
          <w:szCs w:val="24"/>
          <w:u w:val="single"/>
          <w:lang w:eastAsia="zh-CN"/>
        </w:rPr>
        <w:t>浙江科佳工程咨询有限公司</w:t>
      </w:r>
      <w:r>
        <w:rPr>
          <w:rFonts w:hint="eastAsia" w:asciiTheme="minorEastAsia" w:hAnsiTheme="minorEastAsia" w:eastAsiaTheme="minorEastAsia" w:cstheme="minorEastAsia"/>
          <w:szCs w:val="24"/>
        </w:rPr>
        <w:t xml:space="preserve"> </w:t>
      </w:r>
    </w:p>
    <w:p w14:paraId="5741F1D4">
      <w:pPr>
        <w:pStyle w:val="8"/>
        <w:ind w:left="0" w:firstLine="480" w:firstLineChars="200"/>
        <w:jc w:val="both"/>
        <w:rPr>
          <w:rFonts w:asciiTheme="minorEastAsia" w:hAnsiTheme="minorEastAsia" w:eastAsiaTheme="minorEastAsia" w:cstheme="minorEastAsia"/>
          <w:color w:val="auto"/>
          <w:szCs w:val="24"/>
          <w:u w:val="single"/>
        </w:rPr>
      </w:pPr>
      <w:r>
        <w:rPr>
          <w:rFonts w:hint="eastAsia" w:asciiTheme="minorEastAsia" w:hAnsiTheme="minorEastAsia" w:eastAsiaTheme="minorEastAsia" w:cstheme="minorEastAsia"/>
          <w:szCs w:val="24"/>
        </w:rPr>
        <w:t xml:space="preserve">地    </w:t>
      </w:r>
      <w:r>
        <w:rPr>
          <w:rFonts w:asciiTheme="minorEastAsia" w:hAnsiTheme="minorEastAsia" w:eastAsiaTheme="minorEastAsia" w:cstheme="minorEastAsia"/>
          <w:spacing w:val="5"/>
          <w:szCs w:val="24"/>
        </w:rPr>
        <w:t xml:space="preserve"> </w:t>
      </w:r>
      <w:r>
        <w:rPr>
          <w:rFonts w:hint="eastAsia" w:asciiTheme="minorEastAsia" w:hAnsiTheme="minorEastAsia" w:eastAsiaTheme="minorEastAsia" w:cstheme="minorEastAsia"/>
          <w:spacing w:val="5"/>
          <w:szCs w:val="24"/>
        </w:rPr>
        <w:t xml:space="preserve"> </w:t>
      </w:r>
      <w:r>
        <w:rPr>
          <w:rFonts w:hint="eastAsia" w:asciiTheme="minorEastAsia" w:hAnsiTheme="minorEastAsia" w:eastAsiaTheme="minorEastAsia" w:cstheme="minorEastAsia"/>
          <w:szCs w:val="24"/>
        </w:rPr>
        <w:t>址：</w:t>
      </w:r>
      <w:r>
        <w:rPr>
          <w:rFonts w:hint="eastAsia" w:asciiTheme="minorEastAsia" w:hAnsiTheme="minorEastAsia" w:eastAsiaTheme="minorEastAsia" w:cstheme="minorEastAsia"/>
          <w:color w:val="auto"/>
          <w:szCs w:val="24"/>
          <w:u w:val="single"/>
          <w:lang w:eastAsia="zh-CN"/>
        </w:rPr>
        <w:t>浙江省杭州市上城区顺福商务中心3幢10楼</w:t>
      </w:r>
      <w:r>
        <w:rPr>
          <w:rFonts w:hint="eastAsia" w:asciiTheme="minorEastAsia" w:hAnsiTheme="minorEastAsia" w:eastAsiaTheme="minorEastAsia" w:cstheme="minorEastAsia"/>
          <w:color w:val="auto"/>
          <w:szCs w:val="24"/>
          <w:u w:val="single"/>
        </w:rPr>
        <w:t xml:space="preserve"> </w:t>
      </w:r>
    </w:p>
    <w:p w14:paraId="7153AF4B">
      <w:pPr>
        <w:pStyle w:val="20"/>
        <w:ind w:left="0" w:firstLine="480" w:firstLineChars="200"/>
        <w:jc w:val="both"/>
        <w:rPr>
          <w:rFonts w:asciiTheme="minorEastAsia" w:hAnsiTheme="minorEastAsia" w:eastAsiaTheme="minorEastAsia" w:cstheme="minorEastAsia"/>
          <w:color w:val="auto"/>
          <w:szCs w:val="24"/>
          <w:u w:val="single"/>
        </w:rPr>
      </w:pPr>
      <w:r>
        <w:rPr>
          <w:rFonts w:hint="eastAsia" w:asciiTheme="minorEastAsia" w:hAnsiTheme="minorEastAsia" w:eastAsiaTheme="minorEastAsia" w:cstheme="minorEastAsia"/>
          <w:szCs w:val="24"/>
        </w:rPr>
        <w:t>联  系  人：</w:t>
      </w:r>
      <w:r>
        <w:rPr>
          <w:rFonts w:hint="eastAsia" w:asciiTheme="minorEastAsia" w:hAnsiTheme="minorEastAsia" w:eastAsiaTheme="minorEastAsia" w:cstheme="minorEastAsia"/>
          <w:color w:val="auto"/>
          <w:szCs w:val="24"/>
          <w:u w:val="single"/>
          <w:lang w:eastAsia="zh-CN"/>
        </w:rPr>
        <w:t>许月红</w:t>
      </w:r>
      <w:r>
        <w:rPr>
          <w:rFonts w:hint="eastAsia" w:asciiTheme="minorEastAsia" w:hAnsiTheme="minorEastAsia" w:eastAsiaTheme="minorEastAsia" w:cstheme="minorEastAsia"/>
          <w:color w:val="auto"/>
          <w:szCs w:val="24"/>
          <w:u w:val="single"/>
        </w:rPr>
        <w:t xml:space="preserve"> </w:t>
      </w:r>
    </w:p>
    <w:p w14:paraId="598DFD94">
      <w:pPr>
        <w:pStyle w:val="8"/>
        <w:ind w:left="0"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电      话：</w:t>
      </w:r>
      <w:r>
        <w:rPr>
          <w:rFonts w:hint="eastAsia" w:asciiTheme="minorEastAsia" w:hAnsiTheme="minorEastAsia" w:eastAsiaTheme="minorEastAsia" w:cstheme="minorEastAsia"/>
          <w:color w:val="auto"/>
          <w:szCs w:val="24"/>
          <w:u w:val="single"/>
          <w:lang w:eastAsia="zh-CN"/>
        </w:rPr>
        <w:t>15088655553</w:t>
      </w:r>
      <w:r>
        <w:rPr>
          <w:rFonts w:hint="eastAsia" w:asciiTheme="minorEastAsia" w:hAnsiTheme="minorEastAsia" w:eastAsiaTheme="minorEastAsia" w:cstheme="minorEastAsia"/>
          <w:szCs w:val="24"/>
        </w:rPr>
        <w:t xml:space="preserve"> </w:t>
      </w:r>
    </w:p>
    <w:p w14:paraId="6A8D7AC9">
      <w:pPr>
        <w:pStyle w:val="8"/>
        <w:rPr>
          <w:rFonts w:ascii="宋体" w:hAnsi="宋体" w:eastAsia="宋体" w:cs="宋体"/>
          <w:szCs w:val="24"/>
        </w:rPr>
      </w:pPr>
    </w:p>
    <w:p w14:paraId="5C9DC488">
      <w:pPr>
        <w:pStyle w:val="20"/>
        <w:ind w:firstLine="240"/>
        <w:rPr>
          <w:rFonts w:ascii="宋体" w:hAnsi="宋体" w:eastAsia="宋体" w:cs="宋体"/>
          <w:szCs w:val="24"/>
        </w:rPr>
      </w:pPr>
    </w:p>
    <w:p w14:paraId="4844C8CC">
      <w:pPr>
        <w:autoSpaceDE/>
        <w:autoSpaceDN/>
        <w:adjustRightInd/>
        <w:spacing w:line="360" w:lineRule="auto"/>
        <w:ind w:firstLine="480" w:firstLineChars="200"/>
        <w:jc w:val="both"/>
        <w:rPr>
          <w:rFonts w:ascii="宋体" w:hAnsi="宋体" w:eastAsia="宋体" w:cs="宋体"/>
          <w:szCs w:val="24"/>
          <w:u w:val="single"/>
        </w:rPr>
      </w:pPr>
      <w:r>
        <w:rPr>
          <w:rFonts w:hint="eastAsia" w:ascii="宋体" w:hAnsi="宋体" w:eastAsia="宋体" w:cs="宋体"/>
          <w:szCs w:val="24"/>
        </w:rPr>
        <w:t>监督部门：</w:t>
      </w:r>
      <w:r>
        <w:rPr>
          <w:rFonts w:hint="eastAsia" w:ascii="宋体" w:hAnsi="宋体" w:eastAsia="宋体" w:cs="宋体"/>
          <w:szCs w:val="24"/>
          <w:u w:val="single"/>
        </w:rPr>
        <w:t xml:space="preserve">  杭州临江环境能源有限公司监察审计部   </w:t>
      </w:r>
    </w:p>
    <w:p w14:paraId="64D25767">
      <w:pPr>
        <w:autoSpaceDE/>
        <w:autoSpaceDN/>
        <w:adjustRightInd/>
        <w:spacing w:line="360" w:lineRule="auto"/>
        <w:ind w:firstLine="480" w:firstLineChars="200"/>
        <w:jc w:val="both"/>
        <w:rPr>
          <w:rFonts w:ascii="宋体" w:hAnsi="宋体" w:eastAsia="宋体" w:cs="宋体"/>
          <w:szCs w:val="24"/>
          <w:u w:val="single"/>
        </w:rPr>
      </w:pPr>
      <w:r>
        <w:rPr>
          <w:rFonts w:hint="eastAsia" w:ascii="宋体" w:hAnsi="宋体" w:eastAsia="宋体" w:cs="宋体"/>
          <w:szCs w:val="24"/>
        </w:rPr>
        <w:t>联 系 人：</w:t>
      </w:r>
      <w:r>
        <w:rPr>
          <w:rFonts w:hint="eastAsia" w:ascii="宋体" w:hAnsi="宋体" w:eastAsia="宋体" w:cs="宋体"/>
          <w:szCs w:val="24"/>
          <w:u w:val="single"/>
        </w:rPr>
        <w:t xml:space="preserve">   李工   </w:t>
      </w:r>
    </w:p>
    <w:p w14:paraId="473F40FA">
      <w:pPr>
        <w:pStyle w:val="8"/>
        <w:tabs>
          <w:tab w:val="left" w:pos="4228"/>
          <w:tab w:val="left" w:pos="7975"/>
        </w:tabs>
        <w:autoSpaceDE/>
        <w:autoSpaceDN/>
        <w:adjustRightInd/>
        <w:snapToGrid/>
        <w:spacing w:line="360" w:lineRule="auto"/>
        <w:ind w:left="0" w:firstLine="480" w:firstLineChars="200"/>
        <w:jc w:val="both"/>
        <w:textAlignment w:val="auto"/>
        <w:rPr>
          <w:rFonts w:ascii="宋体" w:hAnsi="宋体" w:eastAsia="宋体" w:cs="宋体"/>
          <w:szCs w:val="24"/>
          <w:u w:val="single"/>
        </w:rPr>
      </w:pPr>
      <w:r>
        <w:rPr>
          <w:rFonts w:hint="eastAsia" w:ascii="宋体" w:hAnsi="宋体" w:eastAsia="宋体" w:cs="宋体"/>
          <w:szCs w:val="24"/>
        </w:rPr>
        <w:t>电    话：</w:t>
      </w:r>
      <w:r>
        <w:rPr>
          <w:rFonts w:hint="eastAsia" w:ascii="宋体" w:hAnsi="宋体" w:eastAsia="宋体" w:cs="宋体"/>
          <w:szCs w:val="24"/>
          <w:u w:val="single"/>
        </w:rPr>
        <w:t xml:space="preserve">  0571-81997962     </w:t>
      </w:r>
    </w:p>
    <w:p w14:paraId="21326EA7">
      <w:pPr>
        <w:pStyle w:val="20"/>
        <w:tabs>
          <w:tab w:val="left" w:pos="9360"/>
        </w:tabs>
        <w:spacing w:line="400" w:lineRule="exact"/>
        <w:ind w:left="0" w:firstLine="440" w:firstLineChars="200"/>
        <w:rPr>
          <w:rFonts w:ascii="宋体" w:hAnsi="宋体" w:eastAsia="宋体" w:cs="宋体"/>
          <w:sz w:val="22"/>
          <w:szCs w:val="22"/>
          <w:u w:val="single"/>
        </w:rPr>
      </w:pPr>
    </w:p>
    <w:p w14:paraId="48FBD958">
      <w:pPr>
        <w:pStyle w:val="8"/>
        <w:spacing w:line="400" w:lineRule="exact"/>
        <w:ind w:left="0" w:firstLine="440" w:firstLineChars="200"/>
        <w:jc w:val="right"/>
        <w:rPr>
          <w:rFonts w:ascii="宋体" w:hAnsi="宋体" w:eastAsia="宋体" w:cs="宋体"/>
          <w:sz w:val="22"/>
          <w:szCs w:val="22"/>
        </w:rPr>
      </w:pPr>
    </w:p>
    <w:p w14:paraId="0ABC6B8C">
      <w:pPr>
        <w:tabs>
          <w:tab w:val="left" w:pos="4960"/>
        </w:tabs>
        <w:wordWrap w:val="0"/>
        <w:spacing w:line="360" w:lineRule="auto"/>
        <w:jc w:val="right"/>
        <w:rPr>
          <w:rFonts w:ascii="Times New Roman" w:hAnsi="Times New Roman" w:cs="Times New Roman"/>
          <w:sz w:val="22"/>
          <w:szCs w:val="22"/>
        </w:rPr>
      </w:pPr>
    </w:p>
    <w:p w14:paraId="7A975F3F">
      <w:pPr>
        <w:rPr>
          <w:rFonts w:ascii="Times New Roman" w:hAnsi="Times New Roman" w:cs="Times New Roman"/>
          <w:color w:val="auto"/>
          <w:spacing w:val="2"/>
          <w14:textOutline w14:w="8496" w14:cap="flat" w14:cmpd="sng" w14:algn="ctr">
            <w14:solidFill>
              <w14:srgbClr w14:val="000000"/>
            </w14:solidFill>
            <w14:prstDash w14:val="solid"/>
            <w14:miter w14:val="0"/>
          </w14:textOutline>
        </w:rPr>
      </w:pPr>
    </w:p>
    <w:p w14:paraId="6BA121A8">
      <w:pPr>
        <w:kinsoku/>
        <w:topLinePunct/>
        <w:rPr>
          <w:rFonts w:ascii="Times New Roman" w:hAnsi="Times New Roman" w:cs="Times New Roman"/>
          <w:color w:val="auto"/>
          <w:spacing w:val="4"/>
          <w14:textOutline w14:w="8496" w14:cap="flat" w14:cmpd="sng" w14:algn="ctr">
            <w14:solidFill>
              <w14:srgbClr w14:val="000000"/>
            </w14:solidFill>
            <w14:prstDash w14:val="solid"/>
            <w14:miter w14:val="0"/>
          </w14:textOutline>
        </w:rPr>
      </w:pPr>
      <w:r>
        <w:rPr>
          <w:rFonts w:ascii="Times New Roman" w:hAnsi="Times New Roman" w:cs="Times New Roman"/>
          <w:color w:val="auto"/>
          <w:spacing w:val="4"/>
          <w14:textOutline w14:w="8496" w14:cap="flat" w14:cmpd="sng" w14:algn="ctr">
            <w14:solidFill>
              <w14:srgbClr w14:val="000000"/>
            </w14:solidFill>
            <w14:prstDash w14:val="solid"/>
            <w14:miter w14:val="0"/>
          </w14:textOutline>
        </w:rPr>
        <w:br w:type="page"/>
      </w:r>
    </w:p>
    <w:p w14:paraId="2CE8AFAF">
      <w:pPr>
        <w:pStyle w:val="2"/>
        <w:kinsoku/>
        <w:topLinePunct/>
        <w:rPr>
          <w:rFonts w:ascii="Times New Roman" w:hAnsi="Times New Roman" w:cs="Times New Roman"/>
          <w:color w:val="auto"/>
        </w:rPr>
      </w:pPr>
      <w:r>
        <w:rPr>
          <w:rFonts w:ascii="Times New Roman" w:hAnsi="Times New Roman" w:cs="Times New Roman"/>
          <w:color w:val="auto"/>
          <w:spacing w:val="4"/>
          <w14:textOutline w14:w="8496" w14:cap="flat" w14:cmpd="sng" w14:algn="ctr">
            <w14:solidFill>
              <w14:srgbClr w14:val="000000"/>
            </w14:solidFill>
            <w14:prstDash w14:val="solid"/>
            <w14:miter w14:val="0"/>
          </w14:textOutline>
        </w:rPr>
        <w:t>第</w:t>
      </w:r>
      <w:r>
        <w:rPr>
          <w:rFonts w:ascii="Times New Roman" w:hAnsi="Times New Roman" w:cs="Times New Roman"/>
          <w:color w:val="auto"/>
          <w:spacing w:val="2"/>
          <w14:textOutline w14:w="8496" w14:cap="flat" w14:cmpd="sng" w14:algn="ctr">
            <w14:solidFill>
              <w14:srgbClr w14:val="000000"/>
            </w14:solidFill>
            <w14:prstDash w14:val="solid"/>
            <w14:miter w14:val="0"/>
          </w14:textOutline>
        </w:rPr>
        <w:t>二章</w:t>
      </w:r>
      <w:r>
        <w:rPr>
          <w:rFonts w:ascii="Times New Roman" w:hAnsi="Times New Roman" w:cs="Times New Roman"/>
          <w:color w:val="auto"/>
          <w:spacing w:val="2"/>
        </w:rPr>
        <w:t xml:space="preserve"> </w:t>
      </w:r>
      <w:r>
        <w:rPr>
          <w:rFonts w:ascii="Times New Roman" w:hAnsi="Times New Roman" w:cs="Times New Roman"/>
          <w:color w:val="auto"/>
          <w:spacing w:val="2"/>
          <w14:textOutline w14:w="8496" w14:cap="flat" w14:cmpd="sng" w14:algn="ctr">
            <w14:solidFill>
              <w14:srgbClr w14:val="000000"/>
            </w14:solidFill>
            <w14:prstDash w14:val="solid"/>
            <w14:miter w14:val="0"/>
          </w14:textOutline>
        </w:rPr>
        <w:t>交易须知</w:t>
      </w:r>
    </w:p>
    <w:p w14:paraId="5D5C3B42">
      <w:pPr>
        <w:kinsoku/>
        <w:wordWrap w:val="0"/>
        <w:topLinePunct/>
        <w:autoSpaceDE/>
        <w:autoSpaceDN/>
        <w:adjustRightInd/>
        <w:spacing w:line="277" w:lineRule="auto"/>
        <w:ind w:firstLine="420" w:firstLineChars="200"/>
        <w:rPr>
          <w:rFonts w:ascii="Times New Roman" w:hAnsi="Times New Roman" w:cs="Times New Roman"/>
          <w:color w:val="auto"/>
          <w:sz w:val="21"/>
        </w:rPr>
      </w:pPr>
    </w:p>
    <w:p w14:paraId="58E0DB76">
      <w:pPr>
        <w:pStyle w:val="3"/>
        <w:kinsoku/>
        <w:topLinePunct/>
        <w:rPr>
          <w:rFonts w:ascii="Times New Roman" w:hAnsi="Times New Roman" w:cs="Times New Roman"/>
          <w:color w:val="auto"/>
        </w:rPr>
      </w:pPr>
      <w:r>
        <w:rPr>
          <w:rFonts w:ascii="Times New Roman" w:hAnsi="Times New Roman" w:eastAsia="宋体" w:cs="Times New Roman"/>
          <w:color w:val="auto"/>
          <w:spacing w:val="-1"/>
          <w14:textOutline w14:w="5321" w14:cap="flat" w14:cmpd="sng" w14:algn="ctr">
            <w14:solidFill>
              <w14:srgbClr w14:val="000000"/>
            </w14:solidFill>
            <w14:prstDash w14:val="solid"/>
            <w14:miter w14:val="0"/>
          </w14:textOutline>
        </w:rPr>
        <w:t>前附</w:t>
      </w:r>
      <w:r>
        <w:rPr>
          <w:rFonts w:ascii="Times New Roman" w:hAnsi="Times New Roman" w:eastAsia="宋体" w:cs="Times New Roman"/>
          <w:color w:val="auto"/>
          <w14:textOutline w14:w="5321" w14:cap="flat" w14:cmpd="sng" w14:algn="ctr">
            <w14:solidFill>
              <w14:srgbClr w14:val="000000"/>
            </w14:solidFill>
            <w14:prstDash w14:val="solid"/>
            <w14:miter w14:val="0"/>
          </w14:textOutline>
        </w:rPr>
        <w:t>表</w:t>
      </w:r>
    </w:p>
    <w:tbl>
      <w:tblPr>
        <w:tblStyle w:val="29"/>
        <w:tblpPr w:leftFromText="180" w:rightFromText="180" w:vertAnchor="text" w:horzAnchor="page" w:tblpX="1087" w:tblpY="116"/>
        <w:tblOverlap w:val="never"/>
        <w:tblW w:w="97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Layout w:type="fixed"/>
        <w:tblCellMar>
          <w:top w:w="0" w:type="dxa"/>
          <w:left w:w="0" w:type="dxa"/>
          <w:bottom w:w="0" w:type="dxa"/>
          <w:right w:w="0" w:type="dxa"/>
        </w:tblCellMar>
      </w:tblPr>
      <w:tblGrid>
        <w:gridCol w:w="810"/>
        <w:gridCol w:w="2460"/>
        <w:gridCol w:w="6480"/>
      </w:tblGrid>
      <w:tr w14:paraId="7E5F9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29" w:hRule="atLeast"/>
        </w:trPr>
        <w:tc>
          <w:tcPr>
            <w:tcW w:w="810" w:type="dxa"/>
            <w:tcBorders>
              <w:tl2br w:val="nil"/>
              <w:tr2bl w:val="nil"/>
            </w:tcBorders>
            <w:shd w:val="clear" w:color="auto" w:fill="FFFFFF"/>
          </w:tcPr>
          <w:p w14:paraId="63919B8D">
            <w:pPr>
              <w:kinsoku/>
              <w:wordWrap w:val="0"/>
              <w:topLinePunct/>
              <w:autoSpaceDE/>
              <w:autoSpaceDN/>
              <w:adjustRightInd/>
              <w:snapToGrid/>
              <w:spacing w:before="120" w:beforeLines="50"/>
              <w:ind w:left="120" w:leftChars="50"/>
              <w:jc w:val="center"/>
              <w:rPr>
                <w:rFonts w:ascii="Times New Roman" w:hAnsi="Times New Roman" w:eastAsia="仿宋" w:cs="Times New Roman"/>
                <w:color w:val="auto"/>
                <w:sz w:val="29"/>
                <w:szCs w:val="29"/>
                <w14:textOutline w14:w="5321" w14:cap="flat" w14:cmpd="sng" w14:algn="ctr">
                  <w14:solidFill>
                    <w14:srgbClr w14:val="000000"/>
                  </w14:solidFill>
                  <w14:prstDash w14:val="solid"/>
                  <w14:miter w14:val="0"/>
                </w14:textOutline>
              </w:rPr>
            </w:pPr>
            <w:r>
              <w:rPr>
                <w:rFonts w:ascii="Times New Roman" w:hAnsi="Times New Roman" w:eastAsia="仿宋" w:cs="Times New Roman"/>
                <w:color w:val="auto"/>
                <w:sz w:val="29"/>
                <w:szCs w:val="29"/>
                <w14:textOutline w14:w="5321" w14:cap="flat" w14:cmpd="sng" w14:algn="ctr">
                  <w14:solidFill>
                    <w14:srgbClr w14:val="000000"/>
                  </w14:solidFill>
                  <w14:prstDash w14:val="solid"/>
                  <w14:miter w14:val="0"/>
                </w14:textOutline>
              </w:rPr>
              <w:t>序号</w:t>
            </w:r>
          </w:p>
        </w:tc>
        <w:tc>
          <w:tcPr>
            <w:tcW w:w="2460" w:type="dxa"/>
            <w:tcBorders>
              <w:tl2br w:val="nil"/>
              <w:tr2bl w:val="nil"/>
            </w:tcBorders>
            <w:shd w:val="clear" w:color="auto" w:fill="FFFFFF"/>
          </w:tcPr>
          <w:p w14:paraId="4607CEE2">
            <w:pPr>
              <w:kinsoku/>
              <w:wordWrap w:val="0"/>
              <w:topLinePunct/>
              <w:autoSpaceDE/>
              <w:autoSpaceDN/>
              <w:adjustRightInd/>
              <w:snapToGrid/>
              <w:spacing w:before="120" w:beforeLines="50"/>
              <w:ind w:left="120" w:leftChars="50"/>
              <w:jc w:val="center"/>
              <w:rPr>
                <w:rFonts w:ascii="Times New Roman" w:hAnsi="Times New Roman" w:eastAsia="仿宋" w:cs="Times New Roman"/>
                <w:color w:val="auto"/>
                <w:sz w:val="29"/>
                <w:szCs w:val="29"/>
                <w14:textOutline w14:w="5321" w14:cap="flat" w14:cmpd="sng" w14:algn="ctr">
                  <w14:solidFill>
                    <w14:srgbClr w14:val="000000"/>
                  </w14:solidFill>
                  <w14:prstDash w14:val="solid"/>
                  <w14:miter w14:val="0"/>
                </w14:textOutline>
              </w:rPr>
            </w:pPr>
            <w:r>
              <w:rPr>
                <w:rFonts w:hint="eastAsia" w:ascii="Times New Roman" w:hAnsi="Times New Roman" w:eastAsia="仿宋" w:cs="Times New Roman"/>
                <w:color w:val="auto"/>
                <w:sz w:val="29"/>
                <w:szCs w:val="29"/>
                <w14:textOutline w14:w="5321" w14:cap="flat" w14:cmpd="sng" w14:algn="ctr">
                  <w14:solidFill>
                    <w14:srgbClr w14:val="000000"/>
                  </w14:solidFill>
                  <w14:prstDash w14:val="solid"/>
                  <w14:miter w14:val="0"/>
                </w14:textOutline>
              </w:rPr>
              <w:t>事项</w:t>
            </w:r>
          </w:p>
        </w:tc>
        <w:tc>
          <w:tcPr>
            <w:tcW w:w="6480" w:type="dxa"/>
            <w:tcBorders>
              <w:tl2br w:val="nil"/>
              <w:tr2bl w:val="nil"/>
            </w:tcBorders>
            <w:shd w:val="clear" w:color="auto" w:fill="FFFFFF"/>
          </w:tcPr>
          <w:p w14:paraId="20E14F10">
            <w:pPr>
              <w:kinsoku/>
              <w:wordWrap w:val="0"/>
              <w:topLinePunct/>
              <w:autoSpaceDE/>
              <w:autoSpaceDN/>
              <w:adjustRightInd/>
              <w:snapToGrid/>
              <w:spacing w:before="120" w:beforeLines="50"/>
              <w:ind w:left="120" w:leftChars="50"/>
              <w:jc w:val="center"/>
              <w:rPr>
                <w:rFonts w:ascii="Times New Roman" w:hAnsi="Times New Roman" w:eastAsia="仿宋" w:cs="Times New Roman"/>
                <w:color w:val="auto"/>
                <w:sz w:val="29"/>
                <w:szCs w:val="29"/>
                <w14:textOutline w14:w="5321" w14:cap="flat" w14:cmpd="sng" w14:algn="ctr">
                  <w14:solidFill>
                    <w14:srgbClr w14:val="000000"/>
                  </w14:solidFill>
                  <w14:prstDash w14:val="solid"/>
                  <w14:miter w14:val="0"/>
                </w14:textOutline>
              </w:rPr>
            </w:pPr>
            <w:r>
              <w:rPr>
                <w:rFonts w:hint="eastAsia" w:ascii="Times New Roman" w:hAnsi="Times New Roman" w:eastAsia="仿宋" w:cs="Times New Roman"/>
                <w:color w:val="auto"/>
                <w:sz w:val="29"/>
                <w:szCs w:val="29"/>
                <w14:textOutline w14:w="5321" w14:cap="flat" w14:cmpd="sng" w14:algn="ctr">
                  <w14:solidFill>
                    <w14:srgbClr w14:val="000000"/>
                  </w14:solidFill>
                  <w14:prstDash w14:val="solid"/>
                  <w14:miter w14:val="0"/>
                </w14:textOutline>
              </w:rPr>
              <w:t>本项目的特别规定</w:t>
            </w:r>
          </w:p>
        </w:tc>
      </w:tr>
      <w:tr w14:paraId="1C625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49" w:hRule="atLeast"/>
        </w:trPr>
        <w:tc>
          <w:tcPr>
            <w:tcW w:w="810" w:type="dxa"/>
            <w:tcBorders>
              <w:tl2br w:val="nil"/>
              <w:tr2bl w:val="nil"/>
            </w:tcBorders>
            <w:shd w:val="clear" w:color="auto" w:fill="FFFFFF"/>
            <w:vAlign w:val="center"/>
          </w:tcPr>
          <w:p w14:paraId="683055E2">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6420A33D">
            <w:pPr>
              <w:wordWrap w:val="0"/>
              <w:jc w:val="center"/>
              <w:rPr>
                <w:rFonts w:ascii="宋体" w:hAnsi="宋体" w:eastAsia="宋体" w:cs="宋体"/>
                <w:color w:val="auto"/>
                <w:szCs w:val="24"/>
              </w:rPr>
            </w:pPr>
            <w:r>
              <w:rPr>
                <w:rFonts w:hint="eastAsia" w:ascii="宋体" w:hAnsi="宋体" w:eastAsia="宋体" w:cs="宋体"/>
                <w:szCs w:val="24"/>
              </w:rPr>
              <w:t>工程名称</w:t>
            </w:r>
          </w:p>
        </w:tc>
        <w:tc>
          <w:tcPr>
            <w:tcW w:w="6480" w:type="dxa"/>
            <w:tcBorders>
              <w:tl2br w:val="nil"/>
              <w:tr2bl w:val="nil"/>
            </w:tcBorders>
            <w:shd w:val="clear" w:color="auto" w:fill="FFFFFF"/>
            <w:vAlign w:val="center"/>
          </w:tcPr>
          <w:p w14:paraId="104CAD90">
            <w:pPr>
              <w:wordWrap w:val="0"/>
              <w:spacing w:line="300" w:lineRule="auto"/>
              <w:ind w:left="120" w:leftChars="50"/>
              <w:jc w:val="center"/>
              <w:rPr>
                <w:rFonts w:hint="eastAsia" w:ascii="宋体" w:hAnsi="宋体" w:eastAsia="宋体" w:cs="宋体"/>
                <w:color w:val="auto"/>
                <w:szCs w:val="24"/>
                <w:lang w:eastAsia="zh-CN"/>
              </w:rPr>
            </w:pPr>
            <w:r>
              <w:rPr>
                <w:rFonts w:hint="eastAsia" w:ascii="宋体" w:hAnsi="宋体" w:eastAsia="宋体" w:cs="宋体"/>
                <w:bCs/>
                <w:szCs w:val="24"/>
                <w:lang w:eastAsia="zh-CN"/>
              </w:rPr>
              <w:t>临江公司2026年布袋净气室防腐工程施工</w:t>
            </w:r>
          </w:p>
        </w:tc>
      </w:tr>
      <w:tr w14:paraId="3EE97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740" w:hRule="atLeast"/>
        </w:trPr>
        <w:tc>
          <w:tcPr>
            <w:tcW w:w="810" w:type="dxa"/>
            <w:tcBorders>
              <w:tl2br w:val="nil"/>
              <w:tr2bl w:val="nil"/>
            </w:tcBorders>
            <w:shd w:val="clear" w:color="auto" w:fill="FFFFFF"/>
            <w:vAlign w:val="center"/>
          </w:tcPr>
          <w:p w14:paraId="3CDD6430">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54E8596D">
            <w:pPr>
              <w:kinsoku/>
              <w:wordWrap w:val="0"/>
              <w:topLinePunct/>
              <w:autoSpaceDE/>
              <w:autoSpaceDN/>
              <w:adjustRightInd/>
              <w:snapToGrid/>
              <w:spacing w:before="120" w:beforeLines="50"/>
              <w:ind w:left="120" w:leftChars="50"/>
              <w:jc w:val="center"/>
              <w:rPr>
                <w:rFonts w:ascii="宋体" w:hAnsi="宋体" w:eastAsia="宋体" w:cs="宋体"/>
                <w:color w:val="auto"/>
                <w:szCs w:val="24"/>
              </w:rPr>
            </w:pPr>
            <w:r>
              <w:rPr>
                <w:rFonts w:hint="eastAsia" w:ascii="宋体" w:hAnsi="宋体" w:eastAsia="宋体" w:cs="宋体"/>
                <w:color w:val="auto"/>
                <w:szCs w:val="24"/>
              </w:rPr>
              <w:t>计划工期要求</w:t>
            </w:r>
          </w:p>
        </w:tc>
        <w:tc>
          <w:tcPr>
            <w:tcW w:w="6480" w:type="dxa"/>
            <w:tcBorders>
              <w:tl2br w:val="nil"/>
              <w:tr2bl w:val="nil"/>
            </w:tcBorders>
            <w:shd w:val="clear" w:color="auto" w:fill="FFFFFF"/>
            <w:vAlign w:val="center"/>
          </w:tcPr>
          <w:p w14:paraId="211932CE">
            <w:pPr>
              <w:wordWrap w:val="0"/>
              <w:spacing w:line="400" w:lineRule="exact"/>
              <w:ind w:left="120" w:leftChars="50"/>
              <w:rPr>
                <w:rFonts w:hint="eastAsia" w:ascii="宋体" w:hAnsi="宋体" w:eastAsia="宋体" w:cs="宋体"/>
                <w:szCs w:val="24"/>
              </w:rPr>
            </w:pPr>
            <w:r>
              <w:rPr>
                <w:rFonts w:hint="eastAsia" w:ascii="宋体" w:hAnsi="宋体" w:eastAsia="宋体" w:cs="宋体"/>
                <w:szCs w:val="24"/>
              </w:rPr>
              <w:t>计划工期：</w:t>
            </w:r>
            <w:r>
              <w:rPr>
                <w:rFonts w:hint="eastAsia" w:ascii="宋体" w:hAnsi="宋体" w:eastAsia="宋体" w:cs="宋体"/>
                <w:b/>
                <w:szCs w:val="24"/>
                <w:u w:val="single"/>
              </w:rPr>
              <w:t xml:space="preserve">  </w:t>
            </w:r>
            <w:r>
              <w:rPr>
                <w:rFonts w:hint="eastAsia" w:ascii="宋体" w:hAnsi="宋体" w:eastAsia="宋体" w:cs="宋体"/>
                <w:b/>
                <w:szCs w:val="24"/>
                <w:u w:val="single"/>
                <w:lang w:val="en-US" w:eastAsia="zh-CN"/>
              </w:rPr>
              <w:t>60</w:t>
            </w:r>
            <w:r>
              <w:rPr>
                <w:rFonts w:hint="eastAsia" w:ascii="宋体" w:hAnsi="宋体" w:eastAsia="宋体" w:cs="宋体"/>
                <w:b/>
                <w:szCs w:val="24"/>
                <w:u w:val="single"/>
              </w:rPr>
              <w:t xml:space="preserve">  </w:t>
            </w:r>
            <w:r>
              <w:rPr>
                <w:rFonts w:hint="eastAsia" w:ascii="宋体" w:hAnsi="宋体" w:eastAsia="宋体" w:cs="宋体"/>
                <w:szCs w:val="24"/>
              </w:rPr>
              <w:t>个日历天</w:t>
            </w:r>
            <w:r>
              <w:rPr>
                <w:rFonts w:hint="eastAsia" w:ascii="宋体" w:hAnsi="宋体" w:eastAsia="宋体" w:cs="宋体"/>
                <w:szCs w:val="24"/>
                <w:lang w:eastAsia="zh-CN"/>
              </w:rPr>
              <w:t>，</w:t>
            </w:r>
            <w:r>
              <w:rPr>
                <w:rFonts w:hint="eastAsia" w:ascii="宋体" w:hAnsi="宋体" w:eastAsia="宋体" w:cs="宋体"/>
                <w:szCs w:val="24"/>
              </w:rPr>
              <w:t>分3次施工，每次发包人在停炉前7天通知承包人，承包人接通知后，在20天内完成单套20个布袋净气室防腐大修施工。</w:t>
            </w:r>
          </w:p>
          <w:p w14:paraId="771B9DE6">
            <w:pPr>
              <w:wordWrap w:val="0"/>
              <w:spacing w:line="400" w:lineRule="exact"/>
              <w:ind w:left="120" w:leftChars="50"/>
              <w:rPr>
                <w:rFonts w:ascii="宋体" w:hAnsi="宋体" w:eastAsia="宋体" w:cs="宋体"/>
                <w:szCs w:val="24"/>
                <w:u w:val="single"/>
              </w:rPr>
            </w:pPr>
            <w:r>
              <w:rPr>
                <w:rFonts w:hint="eastAsia" w:ascii="宋体" w:hAnsi="宋体" w:eastAsia="宋体" w:cs="宋体"/>
                <w:szCs w:val="24"/>
              </w:rPr>
              <w:t>承诺工期不得超过该计划工期。</w:t>
            </w:r>
          </w:p>
          <w:p w14:paraId="5C2608E5">
            <w:pPr>
              <w:wordWrap w:val="0"/>
              <w:spacing w:line="400" w:lineRule="exact"/>
              <w:ind w:left="120" w:leftChars="50"/>
              <w:rPr>
                <w:rFonts w:ascii="宋体" w:hAnsi="宋体" w:eastAsia="宋体" w:cs="宋体"/>
                <w:szCs w:val="24"/>
              </w:rPr>
            </w:pPr>
            <w:r>
              <w:rPr>
                <w:rFonts w:hint="eastAsia" w:ascii="宋体" w:hAnsi="宋体" w:eastAsia="宋体" w:cs="宋体"/>
                <w:szCs w:val="24"/>
              </w:rPr>
              <w:t>计划开工日期：</w:t>
            </w:r>
            <w:r>
              <w:rPr>
                <w:rFonts w:hint="eastAsia" w:ascii="宋体" w:hAnsi="宋体" w:eastAsia="宋体" w:cs="宋体"/>
                <w:b/>
                <w:szCs w:val="24"/>
                <w:u w:val="single"/>
              </w:rPr>
              <w:t xml:space="preserve"> </w:t>
            </w:r>
            <w:r>
              <w:rPr>
                <w:rFonts w:hint="eastAsia" w:ascii="宋体" w:hAnsi="宋体" w:eastAsia="宋体" w:cs="宋体"/>
                <w:b/>
                <w:szCs w:val="24"/>
                <w:u w:val="single"/>
                <w:lang w:val="en-US" w:eastAsia="zh-CN"/>
              </w:rPr>
              <w:t>2026</w:t>
            </w:r>
            <w:r>
              <w:rPr>
                <w:rFonts w:hint="eastAsia" w:ascii="宋体" w:hAnsi="宋体" w:eastAsia="宋体" w:cs="宋体"/>
                <w:b/>
                <w:szCs w:val="24"/>
                <w:u w:val="single"/>
              </w:rPr>
              <w:t xml:space="preserve">  </w:t>
            </w:r>
            <w:r>
              <w:rPr>
                <w:rFonts w:hint="eastAsia" w:ascii="宋体" w:hAnsi="宋体" w:eastAsia="宋体" w:cs="宋体"/>
                <w:szCs w:val="24"/>
              </w:rPr>
              <w:t xml:space="preserve">年 </w:t>
            </w:r>
            <w:r>
              <w:rPr>
                <w:rFonts w:hint="eastAsia" w:ascii="宋体" w:hAnsi="宋体" w:eastAsia="宋体" w:cs="宋体"/>
                <w:b/>
                <w:szCs w:val="24"/>
                <w:u w:val="single"/>
              </w:rPr>
              <w:t xml:space="preserve">  </w:t>
            </w:r>
            <w:r>
              <w:rPr>
                <w:rFonts w:hint="eastAsia" w:ascii="宋体" w:hAnsi="宋体" w:eastAsia="宋体" w:cs="宋体"/>
                <w:b/>
                <w:szCs w:val="24"/>
                <w:u w:val="single"/>
                <w:lang w:val="en-US" w:eastAsia="zh-CN"/>
              </w:rPr>
              <w:t>8</w:t>
            </w:r>
            <w:r>
              <w:rPr>
                <w:rFonts w:hint="eastAsia" w:ascii="宋体" w:hAnsi="宋体" w:eastAsia="宋体" w:cs="宋体"/>
                <w:b/>
                <w:szCs w:val="24"/>
                <w:u w:val="single"/>
              </w:rPr>
              <w:t xml:space="preserve">  </w:t>
            </w:r>
            <w:r>
              <w:rPr>
                <w:rFonts w:hint="eastAsia" w:ascii="宋体" w:hAnsi="宋体" w:eastAsia="宋体" w:cs="宋体"/>
                <w:szCs w:val="24"/>
              </w:rPr>
              <w:t>月</w:t>
            </w:r>
            <w:r>
              <w:rPr>
                <w:rFonts w:hint="eastAsia" w:ascii="宋体" w:hAnsi="宋体" w:eastAsia="宋体" w:cs="宋体"/>
                <w:b/>
                <w:szCs w:val="24"/>
                <w:u w:val="single"/>
              </w:rPr>
              <w:t xml:space="preserve">  </w:t>
            </w:r>
            <w:r>
              <w:rPr>
                <w:rFonts w:hint="eastAsia" w:ascii="宋体" w:hAnsi="宋体" w:eastAsia="宋体" w:cs="宋体"/>
                <w:b/>
                <w:szCs w:val="24"/>
                <w:u w:val="single"/>
                <w:lang w:val="en-US" w:eastAsia="zh-CN"/>
              </w:rPr>
              <w:t>1</w:t>
            </w:r>
            <w:r>
              <w:rPr>
                <w:rFonts w:hint="eastAsia" w:ascii="宋体" w:hAnsi="宋体" w:eastAsia="宋体" w:cs="宋体"/>
                <w:b/>
                <w:szCs w:val="24"/>
                <w:u w:val="single"/>
              </w:rPr>
              <w:t xml:space="preserve">   </w:t>
            </w:r>
            <w:r>
              <w:rPr>
                <w:rFonts w:hint="eastAsia" w:ascii="宋体" w:hAnsi="宋体" w:eastAsia="宋体" w:cs="宋体"/>
                <w:szCs w:val="24"/>
              </w:rPr>
              <w:t>日</w:t>
            </w:r>
            <w:r>
              <w:rPr>
                <w:rFonts w:hint="eastAsia"/>
              </w:rPr>
              <w:t>（具体时间以实际开工报告为准）。</w:t>
            </w:r>
          </w:p>
          <w:p w14:paraId="5658D78F">
            <w:pPr>
              <w:wordWrap w:val="0"/>
              <w:spacing w:line="400" w:lineRule="exact"/>
              <w:ind w:left="120" w:leftChars="50"/>
              <w:rPr>
                <w:rFonts w:ascii="宋体" w:hAnsi="宋体" w:eastAsia="宋体" w:cs="宋体"/>
                <w:szCs w:val="24"/>
                <w:u w:val="single"/>
              </w:rPr>
            </w:pPr>
            <w:r>
              <w:rPr>
                <w:rFonts w:hint="eastAsia" w:ascii="宋体" w:hAnsi="宋体" w:eastAsia="宋体" w:cs="宋体"/>
                <w:szCs w:val="24"/>
              </w:rPr>
              <w:t>计划竣工日期：</w:t>
            </w:r>
            <w:r>
              <w:rPr>
                <w:rFonts w:hint="eastAsia" w:ascii="宋体" w:hAnsi="宋体" w:eastAsia="宋体" w:cs="宋体"/>
                <w:b/>
                <w:szCs w:val="24"/>
                <w:u w:val="single"/>
              </w:rPr>
              <w:t xml:space="preserve">   </w:t>
            </w:r>
            <w:r>
              <w:rPr>
                <w:rFonts w:hint="eastAsia" w:ascii="宋体" w:hAnsi="宋体" w:eastAsia="宋体" w:cs="宋体"/>
                <w:b/>
                <w:szCs w:val="24"/>
                <w:u w:val="single"/>
                <w:lang w:val="en-US" w:eastAsia="zh-CN"/>
              </w:rPr>
              <w:t>2028</w:t>
            </w:r>
            <w:r>
              <w:rPr>
                <w:rFonts w:hint="eastAsia" w:ascii="宋体" w:hAnsi="宋体" w:eastAsia="宋体" w:cs="宋体"/>
                <w:b/>
                <w:szCs w:val="24"/>
                <w:u w:val="single"/>
              </w:rPr>
              <w:t xml:space="preserve">   </w:t>
            </w:r>
            <w:r>
              <w:rPr>
                <w:rFonts w:hint="eastAsia" w:ascii="宋体" w:hAnsi="宋体" w:eastAsia="宋体" w:cs="宋体"/>
                <w:szCs w:val="24"/>
              </w:rPr>
              <w:t xml:space="preserve">年 </w:t>
            </w:r>
            <w:r>
              <w:rPr>
                <w:rFonts w:hint="eastAsia" w:ascii="宋体" w:hAnsi="宋体" w:eastAsia="宋体" w:cs="宋体"/>
                <w:b/>
                <w:szCs w:val="24"/>
                <w:u w:val="single"/>
              </w:rPr>
              <w:t xml:space="preserve">  </w:t>
            </w:r>
            <w:r>
              <w:rPr>
                <w:rFonts w:hint="eastAsia" w:ascii="宋体" w:hAnsi="宋体" w:eastAsia="宋体" w:cs="宋体"/>
                <w:b/>
                <w:szCs w:val="24"/>
                <w:u w:val="single"/>
                <w:lang w:val="en-US" w:eastAsia="zh-CN"/>
              </w:rPr>
              <w:t>7</w:t>
            </w:r>
            <w:r>
              <w:rPr>
                <w:rFonts w:hint="eastAsia" w:ascii="宋体" w:hAnsi="宋体" w:eastAsia="宋体" w:cs="宋体"/>
                <w:b/>
                <w:szCs w:val="24"/>
                <w:u w:val="single"/>
              </w:rPr>
              <w:t xml:space="preserve">  </w:t>
            </w:r>
            <w:r>
              <w:rPr>
                <w:rFonts w:hint="eastAsia" w:ascii="宋体" w:hAnsi="宋体" w:eastAsia="宋体" w:cs="宋体"/>
                <w:szCs w:val="24"/>
              </w:rPr>
              <w:t>月</w:t>
            </w:r>
            <w:r>
              <w:rPr>
                <w:rFonts w:hint="eastAsia" w:ascii="宋体" w:hAnsi="宋体" w:eastAsia="宋体" w:cs="宋体"/>
                <w:b/>
                <w:szCs w:val="24"/>
                <w:u w:val="single"/>
              </w:rPr>
              <w:t xml:space="preserve">  </w:t>
            </w:r>
            <w:r>
              <w:rPr>
                <w:rFonts w:hint="eastAsia" w:ascii="宋体" w:hAnsi="宋体" w:eastAsia="宋体" w:cs="宋体"/>
                <w:b/>
                <w:szCs w:val="24"/>
                <w:u w:val="single"/>
                <w:lang w:val="en-US" w:eastAsia="zh-CN"/>
              </w:rPr>
              <w:t>31</w:t>
            </w:r>
            <w:r>
              <w:rPr>
                <w:rFonts w:hint="eastAsia" w:ascii="宋体" w:hAnsi="宋体" w:eastAsia="宋体" w:cs="宋体"/>
                <w:b/>
                <w:szCs w:val="24"/>
                <w:u w:val="single"/>
              </w:rPr>
              <w:t xml:space="preserve"> </w:t>
            </w:r>
            <w:r>
              <w:rPr>
                <w:rFonts w:hint="eastAsia" w:ascii="宋体" w:hAnsi="宋体" w:eastAsia="宋体" w:cs="宋体"/>
                <w:szCs w:val="24"/>
              </w:rPr>
              <w:t>日（以实际验收时间为准）</w:t>
            </w:r>
          </w:p>
          <w:p w14:paraId="6546B5D5">
            <w:pPr>
              <w:spacing w:line="400" w:lineRule="exact"/>
              <w:ind w:left="120" w:leftChars="50"/>
              <w:rPr>
                <w:rFonts w:ascii="宋体" w:hAnsi="宋体" w:eastAsia="宋体" w:cs="宋体"/>
                <w:color w:val="auto"/>
                <w:szCs w:val="24"/>
              </w:rPr>
            </w:pPr>
            <w:r>
              <w:rPr>
                <w:rFonts w:hint="eastAsia"/>
                <w:sz w:val="22"/>
                <w:szCs w:val="22"/>
                <w:shd w:val="pct10" w:color="auto" w:fill="FFFFFF"/>
              </w:rPr>
              <w:t>□</w:t>
            </w:r>
            <w:r>
              <w:rPr>
                <w:rFonts w:hint="eastAsia" w:ascii="宋体" w:hAnsi="宋体" w:eastAsia="宋体" w:cs="宋体"/>
                <w:szCs w:val="24"/>
              </w:rPr>
              <w:t>本工程定额施工工期：</w:t>
            </w:r>
            <w:r>
              <w:rPr>
                <w:rFonts w:hint="eastAsia" w:ascii="宋体" w:hAnsi="宋体" w:eastAsia="宋体" w:cs="宋体"/>
                <w:b/>
                <w:szCs w:val="24"/>
                <w:u w:val="single"/>
              </w:rPr>
              <w:t xml:space="preserve">     </w:t>
            </w:r>
            <w:r>
              <w:rPr>
                <w:rFonts w:hint="eastAsia" w:ascii="宋体" w:hAnsi="宋体" w:eastAsia="宋体" w:cs="宋体"/>
                <w:b/>
                <w:szCs w:val="24"/>
                <w:u w:val="single"/>
                <w:lang w:val="en-US" w:eastAsia="zh-CN"/>
              </w:rPr>
              <w:t>/</w:t>
            </w:r>
            <w:r>
              <w:rPr>
                <w:rFonts w:hint="eastAsia" w:ascii="宋体" w:hAnsi="宋体" w:eastAsia="宋体" w:cs="宋体"/>
                <w:b/>
                <w:szCs w:val="24"/>
                <w:u w:val="single"/>
              </w:rPr>
              <w:t xml:space="preserve">    </w:t>
            </w:r>
            <w:r>
              <w:rPr>
                <w:rFonts w:hint="eastAsia" w:ascii="宋体" w:hAnsi="宋体" w:eastAsia="宋体" w:cs="宋体"/>
                <w:bCs/>
                <w:szCs w:val="24"/>
              </w:rPr>
              <w:t>个</w:t>
            </w:r>
            <w:r>
              <w:rPr>
                <w:rFonts w:hint="eastAsia" w:ascii="宋体" w:hAnsi="宋体" w:eastAsia="宋体" w:cs="宋体"/>
                <w:szCs w:val="24"/>
              </w:rPr>
              <w:t>日历天。</w:t>
            </w:r>
            <w:r>
              <w:rPr>
                <w:rFonts w:hint="eastAsia" w:ascii="宋体" w:hAnsi="宋体" w:eastAsia="宋体" w:cs="宋体"/>
                <w:color w:val="auto"/>
                <w:szCs w:val="24"/>
              </w:rPr>
              <w:t>应依据相关工程的工期定额合理计算工期，压缩的工期天数不得超过定额工期的20％。超过的应在交易文件中明示增加赶工费用。</w:t>
            </w:r>
          </w:p>
        </w:tc>
      </w:tr>
      <w:tr w14:paraId="6A81A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740" w:hRule="atLeast"/>
        </w:trPr>
        <w:tc>
          <w:tcPr>
            <w:tcW w:w="810" w:type="dxa"/>
            <w:tcBorders>
              <w:tl2br w:val="nil"/>
              <w:tr2bl w:val="nil"/>
            </w:tcBorders>
            <w:shd w:val="clear" w:color="auto" w:fill="FFFFFF"/>
            <w:vAlign w:val="center"/>
          </w:tcPr>
          <w:p w14:paraId="1BE8DD92">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6F889B52">
            <w:pPr>
              <w:wordWrap w:val="0"/>
              <w:jc w:val="center"/>
              <w:rPr>
                <w:rFonts w:ascii="宋体" w:hAnsi="宋体" w:eastAsia="宋体" w:cs="宋体"/>
                <w:color w:val="auto"/>
                <w:szCs w:val="24"/>
              </w:rPr>
            </w:pPr>
            <w:r>
              <w:rPr>
                <w:rFonts w:hint="eastAsia" w:ascii="宋体" w:hAnsi="宋体" w:eastAsia="宋体" w:cs="宋体"/>
                <w:szCs w:val="24"/>
              </w:rPr>
              <w:t>工程承包方式</w:t>
            </w:r>
          </w:p>
        </w:tc>
        <w:tc>
          <w:tcPr>
            <w:tcW w:w="6480" w:type="dxa"/>
            <w:tcBorders>
              <w:tl2br w:val="nil"/>
              <w:tr2bl w:val="nil"/>
            </w:tcBorders>
            <w:shd w:val="clear" w:color="auto" w:fill="FFFFFF"/>
            <w:vAlign w:val="center"/>
          </w:tcPr>
          <w:p w14:paraId="1A6E544B">
            <w:pPr>
              <w:wordWrap w:val="0"/>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包工、包料、包工期、包质量、包安全、包文明施工等。</w:t>
            </w:r>
          </w:p>
        </w:tc>
      </w:tr>
      <w:tr w14:paraId="75DA4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10" w:type="dxa"/>
            <w:tcBorders>
              <w:tl2br w:val="nil"/>
              <w:tr2bl w:val="nil"/>
            </w:tcBorders>
            <w:shd w:val="clear" w:color="auto" w:fill="FFFFFF"/>
            <w:vAlign w:val="center"/>
          </w:tcPr>
          <w:p w14:paraId="24322B47">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63B3C395">
            <w:pPr>
              <w:kinsoku/>
              <w:wordWrap w:val="0"/>
              <w:topLinePunct/>
              <w:autoSpaceDE/>
              <w:autoSpaceDN/>
              <w:adjustRightInd/>
              <w:snapToGrid/>
              <w:spacing w:before="120" w:beforeLines="50"/>
              <w:ind w:left="120" w:leftChars="50"/>
              <w:jc w:val="center"/>
              <w:rPr>
                <w:rFonts w:ascii="宋体" w:hAnsi="宋体" w:eastAsia="宋体" w:cs="宋体"/>
                <w:color w:val="auto"/>
                <w:szCs w:val="24"/>
              </w:rPr>
            </w:pPr>
            <w:r>
              <w:rPr>
                <w:rFonts w:hint="eastAsia" w:ascii="宋体" w:hAnsi="宋体" w:eastAsia="宋体" w:cs="宋体"/>
                <w:color w:val="auto"/>
                <w:szCs w:val="24"/>
              </w:rPr>
              <w:t>质量要求</w:t>
            </w:r>
          </w:p>
        </w:tc>
        <w:tc>
          <w:tcPr>
            <w:tcW w:w="6480" w:type="dxa"/>
            <w:tcBorders>
              <w:tl2br w:val="nil"/>
              <w:tr2bl w:val="nil"/>
            </w:tcBorders>
            <w:shd w:val="clear" w:color="auto" w:fill="FFFFFF"/>
            <w:vAlign w:val="center"/>
          </w:tcPr>
          <w:p w14:paraId="4A870036">
            <w:pPr>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符合现行国家有关工程施工验收规范和标准的合格要求。</w:t>
            </w:r>
          </w:p>
        </w:tc>
      </w:tr>
      <w:tr w14:paraId="08203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65" w:hRule="atLeast"/>
        </w:trPr>
        <w:tc>
          <w:tcPr>
            <w:tcW w:w="810" w:type="dxa"/>
            <w:tcBorders>
              <w:tl2br w:val="nil"/>
              <w:tr2bl w:val="nil"/>
            </w:tcBorders>
            <w:shd w:val="clear" w:color="auto" w:fill="FFFFFF"/>
            <w:vAlign w:val="center"/>
          </w:tcPr>
          <w:p w14:paraId="138DC261">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699CD947">
            <w:pPr>
              <w:kinsoku/>
              <w:wordWrap w:val="0"/>
              <w:topLinePunct/>
              <w:autoSpaceDE/>
              <w:autoSpaceDN/>
              <w:adjustRightInd/>
              <w:snapToGrid/>
              <w:spacing w:before="120" w:beforeLines="50"/>
              <w:ind w:left="120" w:leftChars="50"/>
              <w:jc w:val="center"/>
              <w:rPr>
                <w:rFonts w:ascii="宋体" w:hAnsi="宋体" w:eastAsia="宋体" w:cs="宋体"/>
                <w:color w:val="auto"/>
                <w:szCs w:val="24"/>
              </w:rPr>
            </w:pPr>
            <w:r>
              <w:rPr>
                <w:rFonts w:hint="eastAsia" w:ascii="宋体" w:hAnsi="宋体" w:eastAsia="宋体" w:cs="宋体"/>
                <w:color w:val="auto"/>
                <w:szCs w:val="24"/>
                <w:lang w:val="zh-CN"/>
              </w:rPr>
              <w:t>本项目需要至少配备的人员情况</w:t>
            </w:r>
          </w:p>
        </w:tc>
        <w:tc>
          <w:tcPr>
            <w:tcW w:w="6480" w:type="dxa"/>
            <w:tcBorders>
              <w:tl2br w:val="nil"/>
              <w:tr2bl w:val="nil"/>
            </w:tcBorders>
            <w:shd w:val="clear" w:color="auto" w:fill="FFFFFF"/>
            <w:vAlign w:val="center"/>
          </w:tcPr>
          <w:p w14:paraId="2E794C4D">
            <w:pPr>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本项目需至少配置：</w:t>
            </w:r>
          </w:p>
          <w:p w14:paraId="33128242">
            <w:pPr>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项目经理 （</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lang w:val="en-US" w:eastAsia="zh-CN"/>
              </w:rPr>
              <w:t>1</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人、技术负责人（</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lang w:val="en-US" w:eastAsia="zh-CN"/>
              </w:rPr>
              <w:t>1</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）人、质量员（</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lang w:val="en-US" w:eastAsia="zh-CN"/>
              </w:rPr>
              <w:t>1</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）人、安全员（</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lang w:val="en-US" w:eastAsia="zh-CN"/>
              </w:rPr>
              <w:t>1</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）人 ；其他：（</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lang w:val="en-US" w:eastAsia="zh-CN"/>
              </w:rPr>
              <w:t>/</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w:t>
            </w:r>
          </w:p>
        </w:tc>
      </w:tr>
      <w:tr w14:paraId="02FE1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0907C352">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6577DE4E">
            <w:pPr>
              <w:kinsoku/>
              <w:wordWrap w:val="0"/>
              <w:topLinePunct/>
              <w:autoSpaceDE/>
              <w:autoSpaceDN/>
              <w:adjustRightInd/>
              <w:snapToGrid/>
              <w:spacing w:before="120" w:beforeLines="50"/>
              <w:ind w:left="120" w:leftChars="50"/>
              <w:jc w:val="center"/>
              <w:rPr>
                <w:rFonts w:ascii="宋体" w:hAnsi="宋体" w:eastAsia="宋体" w:cs="宋体"/>
                <w:color w:val="auto"/>
                <w:szCs w:val="24"/>
              </w:rPr>
            </w:pPr>
            <w:r>
              <w:rPr>
                <w:rFonts w:hint="eastAsia" w:ascii="宋体" w:hAnsi="宋体" w:eastAsia="宋体" w:cs="宋体"/>
                <w:color w:val="auto"/>
                <w:szCs w:val="24"/>
              </w:rPr>
              <w:t>是否允许分包</w:t>
            </w:r>
          </w:p>
        </w:tc>
        <w:tc>
          <w:tcPr>
            <w:tcW w:w="6480" w:type="dxa"/>
            <w:tcBorders>
              <w:tl2br w:val="nil"/>
              <w:tr2bl w:val="nil"/>
            </w:tcBorders>
            <w:shd w:val="clear" w:color="auto" w:fill="FFFFFF"/>
          </w:tcPr>
          <w:p w14:paraId="5D794121">
            <w:pPr>
              <w:kinsoku/>
              <w:topLinePunct/>
              <w:spacing w:line="400" w:lineRule="exact"/>
              <w:ind w:left="120" w:leftChars="50"/>
              <w:rPr>
                <w:rFonts w:ascii="宋体" w:hAnsi="宋体" w:eastAsia="宋体" w:cs="宋体"/>
                <w:color w:val="auto"/>
                <w:szCs w:val="24"/>
              </w:rPr>
            </w:pPr>
            <w:r>
              <w:rPr>
                <w:rFonts w:hint="eastAsia"/>
                <w:sz w:val="22"/>
                <w:szCs w:val="22"/>
                <w:shd w:val="pct10" w:color="auto" w:fill="FFFFFF"/>
              </w:rPr>
              <w:t>■</w:t>
            </w:r>
            <w:r>
              <w:rPr>
                <w:rFonts w:hint="eastAsia" w:ascii="宋体" w:hAnsi="宋体" w:eastAsia="宋体" w:cs="宋体"/>
                <w:color w:val="auto"/>
                <w:szCs w:val="24"/>
              </w:rPr>
              <w:t>不允许。</w:t>
            </w:r>
          </w:p>
          <w:p w14:paraId="5F6C0A74">
            <w:pPr>
              <w:kinsoku/>
              <w:topLinePunct/>
              <w:autoSpaceDE/>
              <w:autoSpaceDN/>
              <w:spacing w:line="400" w:lineRule="exact"/>
              <w:ind w:left="120" w:leftChars="50"/>
              <w:rPr>
                <w:rFonts w:ascii="宋体" w:hAnsi="宋体" w:eastAsia="宋体" w:cs="宋体"/>
                <w:color w:val="auto"/>
                <w:szCs w:val="24"/>
              </w:rPr>
            </w:pPr>
            <w:r>
              <w:rPr>
                <w:rFonts w:hint="eastAsia"/>
                <w:sz w:val="22"/>
                <w:szCs w:val="22"/>
                <w:shd w:val="pct10" w:color="auto" w:fill="FFFFFF"/>
              </w:rPr>
              <w:t>□</w:t>
            </w:r>
            <w:r>
              <w:rPr>
                <w:rFonts w:hint="eastAsia" w:ascii="宋体" w:hAnsi="宋体" w:eastAsia="宋体" w:cs="宋体"/>
                <w:color w:val="auto"/>
                <w:szCs w:val="24"/>
              </w:rPr>
              <w:t>允许。分包的工程内容：</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lang w:val="en-US" w:eastAsia="zh-CN"/>
              </w:rPr>
              <w:t>/</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分包企业应符合规定的资格要求。允许分包的，成交后以分包方式履行合同的需提供分包意向协议。</w:t>
            </w:r>
          </w:p>
        </w:tc>
      </w:tr>
      <w:tr w14:paraId="2DFB4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15687639">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7BFFF812">
            <w:pPr>
              <w:kinsoku/>
              <w:wordWrap w:val="0"/>
              <w:topLinePunct/>
              <w:autoSpaceDE/>
              <w:autoSpaceDN/>
              <w:adjustRightInd/>
              <w:snapToGrid/>
              <w:spacing w:before="120" w:beforeLines="50"/>
              <w:ind w:left="120" w:leftChars="50"/>
              <w:jc w:val="center"/>
              <w:rPr>
                <w:rFonts w:ascii="宋体" w:hAnsi="宋体" w:eastAsia="宋体" w:cs="宋体"/>
                <w:color w:val="auto"/>
                <w:szCs w:val="24"/>
              </w:rPr>
            </w:pPr>
            <w:r>
              <w:rPr>
                <w:rFonts w:hint="eastAsia" w:ascii="宋体" w:hAnsi="宋体" w:eastAsia="宋体" w:cs="宋体"/>
                <w:color w:val="auto"/>
                <w:kern w:val="2"/>
                <w:szCs w:val="24"/>
              </w:rPr>
              <w:t>潜在承包人要求澄清交易文件</w:t>
            </w:r>
          </w:p>
        </w:tc>
        <w:tc>
          <w:tcPr>
            <w:tcW w:w="6480" w:type="dxa"/>
            <w:tcBorders>
              <w:tl2br w:val="nil"/>
              <w:tr2bl w:val="nil"/>
            </w:tcBorders>
            <w:shd w:val="clear" w:color="auto" w:fill="FFFFFF"/>
          </w:tcPr>
          <w:p w14:paraId="65A9DAA1">
            <w:pPr>
              <w:kinsoku/>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详见交易公告或响应邀请书。</w:t>
            </w:r>
          </w:p>
          <w:p w14:paraId="6DD057C5">
            <w:pPr>
              <w:kinsoku/>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注：采用最低价法、合理低价法的邀请竞标项目，原则上不作澄清或提疑，默认提出问题截止时间同响应文件递交截止时间；如确需澄清的，由受邀潜在承包人书面提交异议至发包人或代理机构，经确认需修改交易文件的，由发包人发布更正答疑公告并延期。</w:t>
            </w:r>
          </w:p>
        </w:tc>
      </w:tr>
      <w:tr w14:paraId="7D15C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62CCA107">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0CAE8F29">
            <w:pPr>
              <w:pStyle w:val="35"/>
              <w:kinsoku/>
              <w:wordWrap w:val="0"/>
              <w:spacing w:before="107"/>
              <w:jc w:val="center"/>
              <w:rPr>
                <w:rFonts w:ascii="宋体" w:hAnsi="宋体" w:eastAsia="宋体" w:cs="宋体"/>
                <w:szCs w:val="24"/>
              </w:rPr>
            </w:pPr>
            <w:r>
              <w:rPr>
                <w:rFonts w:hint="eastAsia" w:ascii="宋体" w:hAnsi="宋体" w:eastAsia="宋体" w:cs="宋体"/>
                <w:szCs w:val="24"/>
              </w:rPr>
              <w:t>交易文件澄清</w:t>
            </w:r>
          </w:p>
          <w:p w14:paraId="76B9A291">
            <w:pPr>
              <w:pStyle w:val="35"/>
              <w:kinsoku/>
              <w:wordWrap w:val="0"/>
              <w:spacing w:before="107"/>
              <w:jc w:val="center"/>
              <w:rPr>
                <w:rFonts w:ascii="宋体" w:hAnsi="宋体" w:eastAsia="宋体" w:cs="宋体"/>
                <w:color w:val="auto"/>
                <w:szCs w:val="24"/>
              </w:rPr>
            </w:pPr>
            <w:r>
              <w:rPr>
                <w:rFonts w:hint="eastAsia" w:ascii="宋体" w:hAnsi="宋体" w:eastAsia="宋体" w:cs="宋体"/>
                <w:szCs w:val="24"/>
              </w:rPr>
              <w:t>发出的形式</w:t>
            </w:r>
          </w:p>
        </w:tc>
        <w:tc>
          <w:tcPr>
            <w:tcW w:w="6480" w:type="dxa"/>
            <w:tcBorders>
              <w:tl2br w:val="nil"/>
              <w:tr2bl w:val="nil"/>
            </w:tcBorders>
            <w:shd w:val="clear" w:color="auto" w:fill="FFFFFF"/>
            <w:vAlign w:val="center"/>
          </w:tcPr>
          <w:p w14:paraId="4F4145B6">
            <w:pPr>
              <w:kinsoku/>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详见交易公告或响应邀请书。</w:t>
            </w:r>
          </w:p>
          <w:p w14:paraId="2D25FB3E">
            <w:pPr>
              <w:wordWrap w:val="0"/>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补充更正文件将在</w:t>
            </w:r>
            <w:r>
              <w:rPr>
                <w:rFonts w:hint="eastAsia" w:ascii="宋体" w:hAnsi="宋体" w:eastAsia="宋体" w:cs="宋体"/>
                <w:color w:val="auto"/>
                <w:szCs w:val="24"/>
                <w:u w:val="single"/>
              </w:rPr>
              <w:t>杭州城投采购平台（</w:t>
            </w:r>
            <w:r>
              <w:rPr>
                <w:rFonts w:ascii="宋体" w:hAnsi="宋体" w:eastAsia="宋体" w:cs="宋体"/>
                <w:color w:val="auto"/>
                <w:szCs w:val="24"/>
                <w:u w:val="single"/>
              </w:rPr>
              <w:t>https://jczx.hzcjtz.com）</w:t>
            </w:r>
            <w:r>
              <w:rPr>
                <w:rFonts w:hint="eastAsia" w:ascii="宋体" w:hAnsi="宋体" w:eastAsia="宋体" w:cs="宋体"/>
                <w:color w:val="auto"/>
                <w:szCs w:val="24"/>
                <w:u w:val="single"/>
              </w:rPr>
              <w:t>、招必得</w:t>
            </w:r>
            <w:r>
              <w:rPr>
                <w:rFonts w:ascii="宋体" w:hAnsi="宋体" w:eastAsia="宋体" w:cs="宋体"/>
                <w:color w:val="auto"/>
                <w:szCs w:val="24"/>
                <w:u w:val="single"/>
              </w:rPr>
              <w:t>-建易招标采购平台城投集团专区（www.zhaobide.com）</w:t>
            </w:r>
            <w:r>
              <w:rPr>
                <w:rFonts w:hint="eastAsia" w:ascii="宋体" w:hAnsi="宋体" w:eastAsia="宋体" w:cs="宋体"/>
                <w:color w:val="auto"/>
                <w:szCs w:val="24"/>
                <w:u w:val="single"/>
                <w:lang w:eastAsia="zh-CN"/>
              </w:rPr>
              <w:t>、浙江企业采购信息服务网发布（https://b.zhengcaiyun.cn/）、中国招标投标公共服务平台（http://www.cebpubservice.com/）、杭州市环境集团有限公司网站（https://www.cnlandfill.net/index.aspx）、杭州临江环境能源有限公司网站（https://www.ljhjny.com/）</w:t>
            </w:r>
            <w:r>
              <w:rPr>
                <w:rFonts w:hint="eastAsia" w:ascii="宋体" w:hAnsi="宋体" w:eastAsia="宋体" w:cs="宋体"/>
                <w:color w:val="auto"/>
                <w:szCs w:val="24"/>
              </w:rPr>
              <w:t>上发布。在响应开启前，潜在承包人须随时关注网站的最新答疑澄清信息，自行下载。</w:t>
            </w:r>
          </w:p>
        </w:tc>
      </w:tr>
      <w:tr w14:paraId="1EE95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09EBB027">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0FB93D10">
            <w:pPr>
              <w:pStyle w:val="35"/>
              <w:kinsoku/>
              <w:wordWrap w:val="0"/>
              <w:jc w:val="center"/>
              <w:rPr>
                <w:rFonts w:ascii="宋体" w:hAnsi="宋体" w:eastAsia="宋体" w:cs="宋体"/>
                <w:szCs w:val="24"/>
              </w:rPr>
            </w:pPr>
            <w:r>
              <w:rPr>
                <w:rFonts w:hint="eastAsia" w:ascii="宋体" w:hAnsi="宋体" w:eastAsia="宋体" w:cs="宋体"/>
                <w:color w:val="auto"/>
                <w:szCs w:val="24"/>
              </w:rPr>
              <w:t>潜在承包人</w:t>
            </w:r>
            <w:r>
              <w:rPr>
                <w:rFonts w:hint="eastAsia" w:ascii="宋体" w:hAnsi="宋体" w:eastAsia="宋体" w:cs="宋体"/>
                <w:szCs w:val="24"/>
              </w:rPr>
              <w:t>确认</w:t>
            </w:r>
          </w:p>
          <w:p w14:paraId="45F245C2">
            <w:pPr>
              <w:pStyle w:val="35"/>
              <w:kinsoku/>
              <w:wordWrap w:val="0"/>
              <w:jc w:val="center"/>
              <w:rPr>
                <w:rFonts w:ascii="宋体" w:hAnsi="宋体" w:eastAsia="宋体" w:cs="宋体"/>
                <w:color w:val="auto"/>
                <w:szCs w:val="24"/>
              </w:rPr>
            </w:pPr>
            <w:r>
              <w:rPr>
                <w:rFonts w:hint="eastAsia" w:ascii="宋体" w:hAnsi="宋体" w:eastAsia="宋体" w:cs="宋体"/>
                <w:szCs w:val="24"/>
              </w:rPr>
              <w:t>收到</w:t>
            </w:r>
            <w:r>
              <w:rPr>
                <w:rFonts w:hint="eastAsia" w:ascii="宋体" w:hAnsi="宋体" w:eastAsia="宋体" w:cs="宋体"/>
                <w:color w:val="auto"/>
                <w:szCs w:val="24"/>
              </w:rPr>
              <w:t>补充更正文件</w:t>
            </w:r>
          </w:p>
        </w:tc>
        <w:tc>
          <w:tcPr>
            <w:tcW w:w="6480" w:type="dxa"/>
            <w:tcBorders>
              <w:tl2br w:val="nil"/>
              <w:tr2bl w:val="nil"/>
            </w:tcBorders>
            <w:shd w:val="clear" w:color="auto" w:fill="FFFFFF"/>
            <w:vAlign w:val="center"/>
          </w:tcPr>
          <w:p w14:paraId="7ECB66B8">
            <w:pPr>
              <w:wordWrap w:val="0"/>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潜在承包人应自行关注</w:t>
            </w:r>
            <w:r>
              <w:rPr>
                <w:rFonts w:hint="eastAsia" w:ascii="宋体" w:hAnsi="宋体" w:eastAsia="宋体" w:cs="宋体"/>
                <w:color w:val="auto"/>
                <w:szCs w:val="24"/>
                <w:u w:val="single"/>
              </w:rPr>
              <w:t>杭州城投采购平台（</w:t>
            </w:r>
            <w:r>
              <w:rPr>
                <w:rFonts w:ascii="宋体" w:hAnsi="宋体" w:eastAsia="宋体" w:cs="宋体"/>
                <w:color w:val="auto"/>
                <w:szCs w:val="24"/>
                <w:u w:val="single"/>
              </w:rPr>
              <w:t>https://jczx.hzcjtz.com）</w:t>
            </w:r>
            <w:r>
              <w:rPr>
                <w:rFonts w:hint="eastAsia" w:ascii="宋体" w:hAnsi="宋体" w:eastAsia="宋体" w:cs="宋体"/>
                <w:color w:val="auto"/>
                <w:szCs w:val="24"/>
                <w:u w:val="single"/>
              </w:rPr>
              <w:t>、招必得</w:t>
            </w:r>
            <w:r>
              <w:rPr>
                <w:rFonts w:ascii="宋体" w:hAnsi="宋体" w:eastAsia="宋体" w:cs="宋体"/>
                <w:color w:val="auto"/>
                <w:szCs w:val="24"/>
                <w:u w:val="single"/>
              </w:rPr>
              <w:t>-建易招标采购平台城投集团专区（www.zhaobide.com）</w:t>
            </w:r>
            <w:r>
              <w:rPr>
                <w:rFonts w:hint="eastAsia" w:ascii="宋体" w:hAnsi="宋体" w:eastAsia="宋体" w:cs="宋体"/>
                <w:color w:val="auto"/>
                <w:szCs w:val="24"/>
                <w:u w:val="single"/>
                <w:lang w:eastAsia="zh-CN"/>
              </w:rPr>
              <w:t>、浙江企业采购信息服务网发布（https://b.zhengcaiyun.cn/）、中国招标投标公共服务平台（http://www.cebpubservice.com/）、杭州市环境集团有限公司网站（https://www.cnlandfill.net/index.aspx）、杭州临江环境能源有限公司网站（https://www.ljhjny.com/）</w:t>
            </w:r>
            <w:r>
              <w:rPr>
                <w:rFonts w:hint="eastAsia" w:ascii="宋体" w:hAnsi="宋体" w:eastAsia="宋体" w:cs="宋体"/>
                <w:color w:val="auto"/>
                <w:szCs w:val="24"/>
              </w:rPr>
              <w:t>发布的补充文件信息，发包人不再逐一通知。潜在承包人因自身贻误行为导致响应失败的，责任自负。</w:t>
            </w:r>
          </w:p>
        </w:tc>
      </w:tr>
      <w:tr w14:paraId="7EA8E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668" w:hRule="atLeast"/>
        </w:trPr>
        <w:tc>
          <w:tcPr>
            <w:tcW w:w="810" w:type="dxa"/>
            <w:tcBorders>
              <w:tl2br w:val="nil"/>
              <w:tr2bl w:val="nil"/>
            </w:tcBorders>
            <w:shd w:val="clear" w:color="auto" w:fill="FFFFFF"/>
            <w:vAlign w:val="center"/>
          </w:tcPr>
          <w:p w14:paraId="7EE15730">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1A53898C">
            <w:pPr>
              <w:kinsoku/>
              <w:wordWrap w:val="0"/>
              <w:topLinePunct/>
              <w:autoSpaceDE/>
              <w:autoSpaceDN/>
              <w:adjustRightInd/>
              <w:snapToGrid/>
              <w:spacing w:before="120" w:beforeLines="50"/>
              <w:ind w:left="120" w:leftChars="50"/>
              <w:jc w:val="center"/>
              <w:rPr>
                <w:rFonts w:ascii="宋体" w:hAnsi="宋体" w:eastAsia="宋体" w:cs="宋体"/>
                <w:color w:val="auto"/>
                <w:szCs w:val="24"/>
              </w:rPr>
            </w:pPr>
            <w:r>
              <w:rPr>
                <w:rFonts w:hint="eastAsia" w:ascii="宋体" w:hAnsi="宋体" w:eastAsia="宋体" w:cs="宋体"/>
                <w:color w:val="auto"/>
                <w:szCs w:val="24"/>
              </w:rPr>
              <w:t>响应文件的组成</w:t>
            </w:r>
          </w:p>
        </w:tc>
        <w:tc>
          <w:tcPr>
            <w:tcW w:w="6480" w:type="dxa"/>
            <w:tcBorders>
              <w:tl2br w:val="nil"/>
              <w:tr2bl w:val="nil"/>
            </w:tcBorders>
            <w:shd w:val="clear" w:color="auto" w:fill="FFFFFF"/>
          </w:tcPr>
          <w:p w14:paraId="1D9BAFA1">
            <w:pPr>
              <w:kinsoku/>
              <w:wordWrap w:val="0"/>
              <w:autoSpaceDE/>
              <w:autoSpaceDN/>
              <w:spacing w:line="400" w:lineRule="exact"/>
              <w:ind w:left="120" w:leftChars="50"/>
              <w:rPr>
                <w:rFonts w:ascii="宋体" w:hAnsi="宋体" w:eastAsia="宋体" w:cs="宋体"/>
                <w:bCs/>
                <w:szCs w:val="24"/>
              </w:rPr>
            </w:pPr>
            <w:r>
              <w:rPr>
                <w:rFonts w:hint="eastAsia" w:ascii="宋体" w:hAnsi="宋体" w:eastAsia="宋体" w:cs="宋体"/>
                <w:bCs/>
                <w:szCs w:val="24"/>
              </w:rPr>
              <w:t>（1）资信标及资格审查文件；</w:t>
            </w:r>
            <w:r>
              <w:rPr>
                <w:rFonts w:hint="eastAsia"/>
                <w:sz w:val="22"/>
                <w:szCs w:val="22"/>
                <w:shd w:val="pct10" w:color="auto" w:fill="FFFFFF"/>
              </w:rPr>
              <w:t>■</w:t>
            </w:r>
            <w:r>
              <w:rPr>
                <w:rFonts w:hint="eastAsia" w:ascii="宋体" w:hAnsi="宋体" w:eastAsia="宋体" w:cs="宋体"/>
                <w:color w:val="auto"/>
                <w:szCs w:val="24"/>
              </w:rPr>
              <w:t>企业分管安全生产副经理、企业经理、技术负责人的任命书复制件；</w:t>
            </w:r>
            <w:r>
              <w:rPr>
                <w:rFonts w:hint="eastAsia"/>
                <w:sz w:val="22"/>
                <w:szCs w:val="22"/>
                <w:shd w:val="pct10" w:color="auto" w:fill="FFFFFF"/>
              </w:rPr>
              <w:t>■</w:t>
            </w:r>
            <w:r>
              <w:rPr>
                <w:rFonts w:hint="eastAsia" w:ascii="宋体" w:hAnsi="宋体" w:eastAsia="宋体" w:cs="宋体"/>
                <w:bCs/>
                <w:szCs w:val="24"/>
              </w:rPr>
              <w:t>其他响应资料：</w:t>
            </w:r>
            <w:r>
              <w:rPr>
                <w:rFonts w:hint="eastAsia" w:ascii="宋体" w:hAnsi="宋体" w:eastAsia="宋体" w:cs="宋体"/>
                <w:bCs/>
                <w:szCs w:val="24"/>
                <w:u w:val="single"/>
              </w:rPr>
              <w:t xml:space="preserve">   资质证书、安全生产许可证等相关资格要求材料 </w:t>
            </w:r>
            <w:r>
              <w:rPr>
                <w:rFonts w:hint="eastAsia" w:ascii="宋体" w:hAnsi="宋体" w:eastAsia="宋体" w:cs="宋体"/>
                <w:bCs/>
                <w:szCs w:val="24"/>
              </w:rPr>
              <w:t>。</w:t>
            </w:r>
          </w:p>
          <w:p w14:paraId="2E4885E6">
            <w:pPr>
              <w:kinsoku/>
              <w:wordWrap w:val="0"/>
              <w:autoSpaceDE/>
              <w:autoSpaceDN/>
              <w:spacing w:line="400" w:lineRule="exact"/>
              <w:ind w:left="120" w:leftChars="50"/>
              <w:rPr>
                <w:rFonts w:ascii="宋体" w:hAnsi="宋体" w:eastAsia="宋体" w:cs="宋体"/>
                <w:bCs/>
                <w:szCs w:val="24"/>
                <w:u w:val="single"/>
              </w:rPr>
            </w:pPr>
            <w:r>
              <w:rPr>
                <w:rFonts w:hint="eastAsia" w:ascii="宋体" w:hAnsi="宋体" w:eastAsia="宋体" w:cs="宋体"/>
                <w:bCs/>
                <w:szCs w:val="24"/>
              </w:rPr>
              <w:t>（2）技术标（</w:t>
            </w:r>
            <w:r>
              <w:rPr>
                <w:rFonts w:hint="eastAsia" w:ascii="宋体" w:hAnsi="宋体" w:eastAsia="宋体" w:cs="宋体"/>
                <w:szCs w:val="24"/>
              </w:rPr>
              <w:t>宜300页以内</w:t>
            </w:r>
            <w:r>
              <w:rPr>
                <w:rFonts w:hint="eastAsia" w:ascii="宋体" w:hAnsi="宋体" w:eastAsia="宋体" w:cs="宋体"/>
                <w:bCs/>
                <w:szCs w:val="24"/>
              </w:rPr>
              <w:t>）；</w:t>
            </w:r>
            <w:r>
              <w:rPr>
                <w:rFonts w:hint="eastAsia"/>
                <w:sz w:val="22"/>
                <w:szCs w:val="22"/>
                <w:shd w:val="pct10" w:color="auto" w:fill="FFFFFF"/>
              </w:rPr>
              <w:t>□</w:t>
            </w:r>
            <w:r>
              <w:rPr>
                <w:rFonts w:hint="eastAsia" w:ascii="宋体" w:hAnsi="宋体" w:eastAsia="宋体" w:cs="宋体"/>
                <w:bCs/>
                <w:szCs w:val="24"/>
              </w:rPr>
              <w:t>技术标其他响应资料：</w:t>
            </w:r>
            <w:r>
              <w:rPr>
                <w:rFonts w:hint="eastAsia" w:ascii="宋体" w:hAnsi="宋体" w:eastAsia="宋体" w:cs="宋体"/>
                <w:bCs/>
                <w:szCs w:val="24"/>
                <w:u w:val="single"/>
              </w:rPr>
              <w:t xml:space="preserve">       </w:t>
            </w:r>
            <w:r>
              <w:rPr>
                <w:rFonts w:hint="eastAsia" w:ascii="宋体" w:hAnsi="宋体" w:eastAsia="宋体" w:cs="宋体"/>
                <w:bCs/>
                <w:szCs w:val="24"/>
                <w:u w:val="single"/>
                <w:lang w:val="en-US" w:eastAsia="zh-CN"/>
              </w:rPr>
              <w:t>/</w:t>
            </w:r>
            <w:r>
              <w:rPr>
                <w:rFonts w:hint="eastAsia" w:ascii="宋体" w:hAnsi="宋体" w:eastAsia="宋体" w:cs="宋体"/>
                <w:bCs/>
                <w:szCs w:val="24"/>
                <w:u w:val="single"/>
              </w:rPr>
              <w:t xml:space="preserve">    </w:t>
            </w:r>
            <w:r>
              <w:rPr>
                <w:rFonts w:hint="eastAsia" w:ascii="宋体" w:hAnsi="宋体" w:eastAsia="宋体" w:cs="宋体"/>
                <w:bCs/>
                <w:szCs w:val="24"/>
              </w:rPr>
              <w:t>。</w:t>
            </w:r>
          </w:p>
          <w:p w14:paraId="7C6E3F9E">
            <w:pPr>
              <w:kinsoku/>
              <w:wordWrap w:val="0"/>
              <w:spacing w:line="400" w:lineRule="exact"/>
              <w:ind w:left="120" w:leftChars="50"/>
              <w:rPr>
                <w:rFonts w:ascii="宋体" w:hAnsi="宋体" w:eastAsia="宋体" w:cs="宋体"/>
                <w:szCs w:val="24"/>
                <w:lang w:val="zh-CN"/>
              </w:rPr>
            </w:pPr>
            <w:r>
              <w:rPr>
                <w:rFonts w:hint="eastAsia" w:ascii="宋体" w:hAnsi="宋体" w:eastAsia="宋体" w:cs="宋体"/>
                <w:bCs/>
                <w:szCs w:val="24"/>
              </w:rPr>
              <w:t>（3）商务标；</w:t>
            </w:r>
            <w:r>
              <w:rPr>
                <w:rFonts w:hint="eastAsia"/>
                <w:sz w:val="22"/>
                <w:szCs w:val="22"/>
                <w:shd w:val="pct10" w:color="auto" w:fill="FFFFFF"/>
              </w:rPr>
              <w:t>□</w:t>
            </w:r>
            <w:r>
              <w:rPr>
                <w:rFonts w:hint="eastAsia" w:ascii="宋体" w:hAnsi="宋体" w:eastAsia="宋体" w:cs="宋体"/>
                <w:bCs/>
                <w:szCs w:val="24"/>
              </w:rPr>
              <w:t>其他响应资料：</w:t>
            </w:r>
            <w:r>
              <w:rPr>
                <w:rFonts w:hint="eastAsia" w:ascii="宋体" w:hAnsi="宋体" w:eastAsia="宋体" w:cs="宋体"/>
                <w:bCs/>
                <w:szCs w:val="24"/>
                <w:u w:val="single"/>
              </w:rPr>
              <w:t xml:space="preserve">   </w:t>
            </w:r>
            <w:r>
              <w:rPr>
                <w:rFonts w:hint="eastAsia" w:ascii="宋体" w:hAnsi="宋体" w:eastAsia="宋体" w:cs="宋体"/>
                <w:bCs/>
                <w:szCs w:val="24"/>
                <w:u w:val="single"/>
                <w:lang w:val="en-US" w:eastAsia="zh-CN"/>
              </w:rPr>
              <w:t>/</w:t>
            </w:r>
            <w:r>
              <w:rPr>
                <w:rFonts w:hint="eastAsia" w:ascii="宋体" w:hAnsi="宋体" w:eastAsia="宋体" w:cs="宋体"/>
                <w:bCs/>
                <w:szCs w:val="24"/>
                <w:u w:val="single"/>
              </w:rPr>
              <w:t xml:space="preserve">     </w:t>
            </w:r>
            <w:r>
              <w:rPr>
                <w:rFonts w:hint="eastAsia" w:ascii="宋体" w:hAnsi="宋体" w:eastAsia="宋体" w:cs="宋体"/>
                <w:bCs/>
                <w:szCs w:val="24"/>
              </w:rPr>
              <w:t>。</w:t>
            </w:r>
          </w:p>
          <w:p w14:paraId="02FC3EFD">
            <w:pPr>
              <w:kinsoku/>
              <w:wordWrap w:val="0"/>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注：</w:t>
            </w:r>
          </w:p>
          <w:p w14:paraId="736946C1">
            <w:pPr>
              <w:numPr>
                <w:ilvl w:val="0"/>
                <w:numId w:val="3"/>
              </w:numPr>
              <w:kinsoku/>
              <w:wordWrap w:val="0"/>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以上内容都必须使用交易文件提供的格式或大纲，除另有规定外，潜在承包人不得修改，并要求按照上述次序编制，否则视作</w:t>
            </w:r>
            <w:r>
              <w:rPr>
                <w:rFonts w:hint="eastAsia" w:ascii="宋体" w:hAnsi="宋体" w:eastAsia="宋体" w:cs="宋体"/>
                <w:color w:val="auto"/>
                <w:szCs w:val="24"/>
                <w:lang w:val="zh-CN"/>
              </w:rPr>
              <w:t>响应</w:t>
            </w:r>
            <w:r>
              <w:rPr>
                <w:rFonts w:hint="eastAsia" w:ascii="宋体" w:hAnsi="宋体" w:eastAsia="宋体" w:cs="宋体"/>
                <w:color w:val="auto"/>
                <w:szCs w:val="24"/>
              </w:rPr>
              <w:t>文件未按交易文件规定的格式填写，关键内容缺失。未提供格式的内容请各潜在承包人自拟。</w:t>
            </w:r>
          </w:p>
          <w:p w14:paraId="1E292312">
            <w:pPr>
              <w:kinsoku/>
              <w:wordWrap w:val="0"/>
              <w:autoSpaceDE/>
              <w:autoSpaceDN/>
              <w:spacing w:line="400" w:lineRule="exact"/>
              <w:ind w:left="120" w:leftChars="50"/>
              <w:rPr>
                <w:rFonts w:ascii="宋体" w:hAnsi="宋体" w:eastAsia="宋体" w:cs="宋体"/>
                <w:color w:val="auto"/>
                <w:szCs w:val="24"/>
              </w:rPr>
            </w:pPr>
            <w:r>
              <w:rPr>
                <w:rFonts w:hint="eastAsia"/>
                <w:sz w:val="22"/>
                <w:szCs w:val="22"/>
                <w:shd w:val="pct10" w:color="auto" w:fill="FFFFFF"/>
              </w:rPr>
              <w:t>■</w:t>
            </w:r>
            <w:r>
              <w:rPr>
                <w:rFonts w:hint="eastAsia" w:ascii="宋体" w:hAnsi="宋体" w:eastAsia="宋体" w:cs="宋体"/>
                <w:bCs/>
                <w:kern w:val="2"/>
                <w:szCs w:val="24"/>
              </w:rPr>
              <w:t>2.</w:t>
            </w:r>
            <w:r>
              <w:rPr>
                <w:rFonts w:hint="eastAsia" w:ascii="宋体" w:hAnsi="宋体" w:eastAsia="宋体" w:cs="宋体"/>
                <w:color w:val="auto"/>
                <w:szCs w:val="24"/>
              </w:rPr>
              <w:t>本项目采用最低价法或合理低价法，实行技术响应承诺制。技术标文件可仅提供技术响应承诺书。</w:t>
            </w:r>
          </w:p>
          <w:p w14:paraId="1E7B5F9C">
            <w:pPr>
              <w:kinsoku/>
              <w:wordWrap w:val="0"/>
              <w:autoSpaceDE/>
              <w:autoSpaceDN/>
              <w:spacing w:line="400" w:lineRule="exact"/>
              <w:ind w:left="120" w:leftChars="50"/>
              <w:rPr>
                <w:rFonts w:ascii="宋体" w:hAnsi="宋体" w:eastAsia="宋体" w:cs="宋体"/>
                <w:color w:val="auto"/>
                <w:szCs w:val="24"/>
              </w:rPr>
            </w:pPr>
            <w:r>
              <w:rPr>
                <w:rFonts w:hint="eastAsia"/>
                <w:sz w:val="22"/>
                <w:szCs w:val="22"/>
                <w:shd w:val="pct10" w:color="auto" w:fill="FFFFFF"/>
              </w:rPr>
              <w:t>□</w:t>
            </w:r>
            <w:r>
              <w:rPr>
                <w:rFonts w:hint="eastAsia" w:ascii="宋体" w:hAnsi="宋体" w:eastAsia="宋体" w:cs="宋体"/>
                <w:szCs w:val="24"/>
              </w:rPr>
              <w:t>3.本项目技术标采用暗标。技术标（暗标）文件需上传至投标工具内，暗标文件中不得出现直接反映潜在承包人身份或人员姓名的信息，不得出现直接反映潜在承包人身份或人员姓名的标记。</w:t>
            </w:r>
          </w:p>
        </w:tc>
      </w:tr>
      <w:tr w14:paraId="39493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49511BA1">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3F5FD5F9">
            <w:pPr>
              <w:kinsoku/>
              <w:wordWrap w:val="0"/>
              <w:topLinePunct/>
              <w:autoSpaceDE/>
              <w:autoSpaceDN/>
              <w:adjustRightInd/>
              <w:snapToGrid/>
              <w:spacing w:before="120" w:beforeLines="50"/>
              <w:ind w:left="120" w:leftChars="50"/>
              <w:jc w:val="center"/>
              <w:rPr>
                <w:rFonts w:ascii="宋体" w:hAnsi="宋体" w:eastAsia="宋体" w:cs="宋体"/>
                <w:color w:val="auto"/>
                <w:szCs w:val="24"/>
              </w:rPr>
            </w:pPr>
            <w:r>
              <w:rPr>
                <w:rFonts w:hint="eastAsia" w:ascii="宋体" w:hAnsi="宋体" w:eastAsia="宋体" w:cs="宋体"/>
                <w:color w:val="auto"/>
                <w:szCs w:val="24"/>
              </w:rPr>
              <w:t>最高报价限价</w:t>
            </w:r>
          </w:p>
        </w:tc>
        <w:tc>
          <w:tcPr>
            <w:tcW w:w="6480" w:type="dxa"/>
            <w:tcBorders>
              <w:tl2br w:val="nil"/>
              <w:tr2bl w:val="nil"/>
            </w:tcBorders>
            <w:shd w:val="clear" w:color="auto" w:fill="FFFFFF"/>
            <w:vAlign w:val="center"/>
          </w:tcPr>
          <w:p w14:paraId="14B5EC65">
            <w:pPr>
              <w:pStyle w:val="6"/>
              <w:kinsoku/>
              <w:wordWrap w:val="0"/>
              <w:topLinePunct/>
              <w:autoSpaceDE/>
              <w:autoSpaceDN/>
              <w:spacing w:line="400" w:lineRule="exact"/>
              <w:ind w:left="120" w:leftChars="50" w:firstLine="0" w:firstLineChars="0"/>
              <w:rPr>
                <w:rFonts w:ascii="宋体" w:hAnsi="宋体" w:eastAsia="宋体" w:cs="宋体"/>
                <w:color w:val="auto"/>
                <w:szCs w:val="24"/>
              </w:rPr>
            </w:pPr>
            <w:r>
              <w:rPr>
                <w:rFonts w:hint="eastAsia" w:ascii="宋体" w:hAnsi="宋体" w:eastAsia="宋体" w:cs="宋体"/>
                <w:color w:val="auto"/>
                <w:szCs w:val="24"/>
              </w:rPr>
              <w:t>(1)最高报价限价为</w:t>
            </w:r>
            <w:r>
              <w:rPr>
                <w:rFonts w:hint="eastAsia" w:ascii="宋体" w:hAnsi="宋体" w:eastAsia="宋体" w:cs="宋体"/>
                <w:color w:val="auto"/>
                <w:szCs w:val="24"/>
                <w:u w:val="single"/>
              </w:rPr>
              <w:t xml:space="preserve">  </w:t>
            </w:r>
            <w:r>
              <w:rPr>
                <w:rFonts w:hint="eastAsia" w:ascii="宋体" w:hAnsi="宋体" w:eastAsia="宋体"/>
                <w:szCs w:val="24"/>
                <w:u w:val="single"/>
                <w:lang w:eastAsia="zh-CN"/>
              </w:rPr>
              <w:t>285.0424</w:t>
            </w:r>
            <w:r>
              <w:rPr>
                <w:rFonts w:ascii="宋体" w:hAnsi="宋体" w:eastAsia="宋体" w:cs="宋体"/>
                <w:color w:val="auto"/>
                <w:szCs w:val="24"/>
                <w:u w:val="single"/>
              </w:rPr>
              <w:t xml:space="preserve">  </w:t>
            </w:r>
            <w:r>
              <w:rPr>
                <w:rFonts w:hint="eastAsia" w:ascii="宋体" w:hAnsi="宋体" w:eastAsia="宋体" w:cs="宋体"/>
                <w:color w:val="auto"/>
                <w:szCs w:val="24"/>
              </w:rPr>
              <w:t>万元。</w:t>
            </w:r>
          </w:p>
          <w:p w14:paraId="645E3059">
            <w:pPr>
              <w:pStyle w:val="6"/>
              <w:kinsoku/>
              <w:wordWrap w:val="0"/>
              <w:topLinePunct/>
              <w:autoSpaceDE/>
              <w:autoSpaceDN/>
              <w:spacing w:line="400" w:lineRule="exact"/>
              <w:ind w:left="120" w:leftChars="50" w:firstLine="0" w:firstLineChars="0"/>
              <w:rPr>
                <w:rFonts w:ascii="宋体" w:hAnsi="宋体" w:eastAsia="宋体" w:cs="宋体"/>
                <w:color w:val="auto"/>
                <w:szCs w:val="24"/>
              </w:rPr>
            </w:pPr>
            <w:r>
              <w:rPr>
                <w:rFonts w:hint="eastAsia" w:ascii="宋体" w:hAnsi="宋体" w:eastAsia="宋体" w:cs="宋体"/>
                <w:color w:val="auto"/>
                <w:szCs w:val="24"/>
              </w:rPr>
              <w:t>(2)暂列金额为：</w:t>
            </w:r>
            <w:r>
              <w:rPr>
                <w:rFonts w:hint="eastAsia" w:ascii="宋体" w:hAnsi="宋体" w:eastAsia="宋体" w:cs="宋体"/>
                <w:color w:val="auto"/>
                <w:szCs w:val="24"/>
                <w:u w:val="single"/>
              </w:rPr>
              <w:t>　　</w:t>
            </w:r>
            <w:r>
              <w:rPr>
                <w:rFonts w:hint="eastAsia" w:ascii="宋体" w:hAnsi="宋体" w:eastAsia="宋体" w:cs="宋体"/>
                <w:color w:val="auto"/>
                <w:szCs w:val="24"/>
                <w:u w:val="single"/>
                <w:lang w:val="en-US" w:eastAsia="zh-CN"/>
              </w:rPr>
              <w:t>/</w:t>
            </w:r>
            <w:r>
              <w:rPr>
                <w:rFonts w:hint="eastAsia" w:ascii="宋体" w:hAnsi="宋体" w:eastAsia="宋体" w:cs="宋体"/>
                <w:color w:val="auto"/>
                <w:szCs w:val="24"/>
                <w:u w:val="single"/>
              </w:rPr>
              <w:t>　　　</w:t>
            </w:r>
            <w:r>
              <w:rPr>
                <w:rFonts w:hint="eastAsia" w:ascii="宋体" w:hAnsi="宋体" w:eastAsia="宋体" w:cs="宋体"/>
                <w:color w:val="auto"/>
                <w:szCs w:val="24"/>
              </w:rPr>
              <w:t>万元。</w:t>
            </w:r>
          </w:p>
          <w:p w14:paraId="6AA10037">
            <w:pPr>
              <w:pStyle w:val="6"/>
              <w:kinsoku/>
              <w:wordWrap w:val="0"/>
              <w:topLinePunct/>
              <w:autoSpaceDE/>
              <w:autoSpaceDN/>
              <w:spacing w:line="400" w:lineRule="exact"/>
              <w:ind w:left="120" w:leftChars="50" w:firstLine="0" w:firstLineChars="0"/>
              <w:rPr>
                <w:rFonts w:ascii="宋体" w:hAnsi="宋体" w:eastAsia="宋体" w:cs="宋体"/>
                <w:color w:val="auto"/>
                <w:szCs w:val="24"/>
              </w:rPr>
            </w:pPr>
            <w:r>
              <w:rPr>
                <w:rFonts w:hint="eastAsia"/>
                <w:sz w:val="22"/>
                <w:szCs w:val="22"/>
                <w:shd w:val="pct10" w:color="auto" w:fill="FFFFFF"/>
              </w:rPr>
              <w:t>□</w:t>
            </w:r>
            <w:r>
              <w:rPr>
                <w:rFonts w:hint="eastAsia" w:ascii="宋体" w:hAnsi="宋体" w:eastAsia="宋体" w:cs="宋体"/>
                <w:color w:val="auto"/>
                <w:szCs w:val="24"/>
              </w:rPr>
              <w:t>(3)风险控制价</w:t>
            </w:r>
            <w:r>
              <w:rPr>
                <w:rFonts w:ascii="宋体" w:hAnsi="宋体" w:eastAsia="宋体" w:cs="宋体"/>
                <w:color w:val="auto"/>
                <w:szCs w:val="24"/>
                <w:u w:val="single"/>
              </w:rPr>
              <w:t xml:space="preserve"> </w:t>
            </w:r>
            <w:r>
              <w:rPr>
                <w:rFonts w:hint="eastAsia" w:ascii="宋体" w:hAnsi="宋体" w:eastAsia="宋体" w:cs="宋体"/>
                <w:color w:val="auto"/>
                <w:szCs w:val="24"/>
                <w:u w:val="single"/>
              </w:rPr>
              <w:t xml:space="preserve">  </w:t>
            </w:r>
            <w:r>
              <w:rPr>
                <w:rFonts w:ascii="宋体" w:hAnsi="宋体" w:eastAsia="宋体" w:cs="宋体"/>
                <w:color w:val="auto"/>
                <w:szCs w:val="24"/>
                <w:u w:val="single"/>
              </w:rPr>
              <w:t xml:space="preserve">   </w:t>
            </w:r>
            <w:r>
              <w:rPr>
                <w:rFonts w:hint="eastAsia" w:ascii="宋体" w:hAnsi="宋体" w:eastAsia="宋体" w:cs="宋体"/>
                <w:color w:val="auto"/>
                <w:szCs w:val="24"/>
                <w:u w:val="single"/>
                <w:lang w:val="en-US" w:eastAsia="zh-CN"/>
              </w:rPr>
              <w:t>/</w:t>
            </w:r>
            <w:r>
              <w:rPr>
                <w:rFonts w:ascii="宋体" w:hAnsi="宋体" w:eastAsia="宋体" w:cs="宋体"/>
                <w:color w:val="auto"/>
                <w:szCs w:val="24"/>
                <w:u w:val="single"/>
              </w:rPr>
              <w:t xml:space="preserve"> </w:t>
            </w:r>
            <w:r>
              <w:rPr>
                <w:rFonts w:hint="eastAsia" w:ascii="宋体" w:hAnsi="宋体" w:eastAsia="宋体" w:cs="宋体"/>
                <w:color w:val="auto"/>
                <w:szCs w:val="24"/>
                <w:u w:val="single"/>
              </w:rPr>
              <w:t xml:space="preserve">  </w:t>
            </w:r>
            <w:r>
              <w:rPr>
                <w:rFonts w:ascii="宋体" w:hAnsi="宋体" w:eastAsia="宋体" w:cs="宋体"/>
                <w:color w:val="auto"/>
                <w:szCs w:val="24"/>
                <w:u w:val="single"/>
              </w:rPr>
              <w:t xml:space="preserve">  </w:t>
            </w:r>
            <w:r>
              <w:rPr>
                <w:rFonts w:hint="eastAsia" w:ascii="宋体" w:hAnsi="宋体" w:eastAsia="宋体" w:cs="宋体"/>
                <w:color w:val="auto"/>
                <w:szCs w:val="24"/>
              </w:rPr>
              <w:t>万元，为防止恶意低价竞争，最高报价限价的</w:t>
            </w:r>
            <w:r>
              <w:rPr>
                <w:rFonts w:ascii="宋体" w:hAnsi="宋体" w:eastAsia="宋体" w:cs="宋体"/>
                <w:color w:val="auto"/>
                <w:szCs w:val="24"/>
                <w:u w:val="single"/>
              </w:rPr>
              <w:t xml:space="preserve">  </w:t>
            </w:r>
            <w:r>
              <w:rPr>
                <w:rFonts w:hint="eastAsia" w:ascii="宋体" w:hAnsi="宋体" w:eastAsia="宋体" w:cs="宋体"/>
                <w:color w:val="auto"/>
                <w:szCs w:val="24"/>
                <w:u w:val="single"/>
                <w:lang w:val="en-US" w:eastAsia="zh-CN"/>
              </w:rPr>
              <w:t>/</w:t>
            </w:r>
            <w:r>
              <w:rPr>
                <w:rFonts w:ascii="宋体" w:hAnsi="宋体" w:eastAsia="宋体" w:cs="宋体"/>
                <w:color w:val="auto"/>
                <w:szCs w:val="24"/>
                <w:u w:val="single"/>
              </w:rPr>
              <w:t xml:space="preserve">    </w:t>
            </w:r>
            <w:r>
              <w:rPr>
                <w:rFonts w:hint="eastAsia" w:ascii="宋体" w:hAnsi="宋体" w:eastAsia="宋体" w:cs="宋体"/>
                <w:color w:val="auto"/>
                <w:szCs w:val="24"/>
              </w:rPr>
              <w:t xml:space="preserve">％作为风险控制价，成交价低于风险控制价的，成交人还须向发包人提供风险控制价和成交价的差额担保。 </w:t>
            </w:r>
          </w:p>
          <w:p w14:paraId="66B41A45">
            <w:pPr>
              <w:pStyle w:val="6"/>
              <w:kinsoku/>
              <w:wordWrap w:val="0"/>
              <w:topLinePunct/>
              <w:autoSpaceDE/>
              <w:autoSpaceDN/>
              <w:spacing w:line="400" w:lineRule="exact"/>
              <w:ind w:left="120" w:leftChars="50" w:firstLine="0" w:firstLineChars="0"/>
              <w:rPr>
                <w:rFonts w:ascii="宋体" w:hAnsi="宋体" w:eastAsia="宋体" w:cs="宋体"/>
                <w:color w:val="auto"/>
                <w:szCs w:val="24"/>
              </w:rPr>
            </w:pPr>
            <w:r>
              <w:rPr>
                <w:rFonts w:hint="eastAsia" w:ascii="宋体" w:hAnsi="宋体" w:eastAsia="宋体" w:cs="宋体"/>
                <w:color w:val="auto"/>
                <w:szCs w:val="24"/>
              </w:rPr>
              <w:t>注：采用最低价法或合理低价法的，不设置风险控制价；采用综合评估法的，发包人可以参照《关于公布杭州市房屋建筑和市政基础设施项目风险控制价设定幅度的通知》（杭建市通知〔2025〕24号），根据项目实际情况设定风险控制价。</w:t>
            </w:r>
          </w:p>
        </w:tc>
      </w:tr>
      <w:tr w14:paraId="47685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3AD2EF6F">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181A0FCF">
            <w:pPr>
              <w:kinsoku/>
              <w:wordWrap w:val="0"/>
              <w:topLinePunct/>
              <w:autoSpaceDE/>
              <w:autoSpaceDN/>
              <w:adjustRightInd/>
              <w:snapToGrid/>
              <w:spacing w:before="120" w:beforeLines="50"/>
              <w:ind w:left="120" w:leftChars="50"/>
              <w:jc w:val="center"/>
              <w:rPr>
                <w:rFonts w:ascii="宋体" w:hAnsi="宋体" w:eastAsia="宋体" w:cs="宋体"/>
                <w:color w:val="auto"/>
                <w:szCs w:val="24"/>
              </w:rPr>
            </w:pPr>
            <w:r>
              <w:rPr>
                <w:rFonts w:hint="eastAsia" w:ascii="宋体" w:hAnsi="宋体" w:eastAsia="宋体" w:cs="宋体"/>
                <w:color w:val="auto"/>
                <w:szCs w:val="24"/>
              </w:rPr>
              <w:t>响应文件有效期</w:t>
            </w:r>
          </w:p>
        </w:tc>
        <w:tc>
          <w:tcPr>
            <w:tcW w:w="6480" w:type="dxa"/>
            <w:tcBorders>
              <w:tl2br w:val="nil"/>
              <w:tr2bl w:val="nil"/>
            </w:tcBorders>
            <w:shd w:val="clear" w:color="auto" w:fill="FFFFFF"/>
          </w:tcPr>
          <w:p w14:paraId="682EDCF3">
            <w:pPr>
              <w:tabs>
                <w:tab w:val="left" w:pos="895"/>
              </w:tabs>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u w:val="single"/>
              </w:rPr>
              <w:t>90</w:t>
            </w:r>
            <w:r>
              <w:rPr>
                <w:rFonts w:hint="eastAsia" w:ascii="宋体" w:hAnsi="宋体" w:eastAsia="宋体" w:cs="宋体"/>
                <w:color w:val="auto"/>
                <w:szCs w:val="24"/>
              </w:rPr>
              <w:t>日历天 (从响应截止之日起算)。</w:t>
            </w:r>
          </w:p>
        </w:tc>
      </w:tr>
      <w:tr w14:paraId="0D0BE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162A1F91">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3D8B3685">
            <w:pPr>
              <w:kinsoku/>
              <w:wordWrap w:val="0"/>
              <w:topLinePunct/>
              <w:autoSpaceDE/>
              <w:autoSpaceDN/>
              <w:adjustRightInd/>
              <w:snapToGrid/>
              <w:spacing w:before="120" w:beforeLines="50"/>
              <w:ind w:left="120" w:leftChars="50"/>
              <w:jc w:val="center"/>
              <w:rPr>
                <w:rFonts w:ascii="宋体" w:hAnsi="宋体" w:eastAsia="宋体" w:cs="宋体"/>
                <w:color w:val="auto"/>
                <w:szCs w:val="24"/>
              </w:rPr>
            </w:pPr>
            <w:r>
              <w:rPr>
                <w:rFonts w:hint="eastAsia" w:ascii="宋体" w:hAnsi="宋体" w:eastAsia="宋体" w:cs="宋体"/>
                <w:color w:val="auto"/>
                <w:szCs w:val="24"/>
              </w:rPr>
              <w:t>交易担保</w:t>
            </w:r>
          </w:p>
        </w:tc>
        <w:tc>
          <w:tcPr>
            <w:tcW w:w="6480" w:type="dxa"/>
            <w:tcBorders>
              <w:tl2br w:val="nil"/>
              <w:tr2bl w:val="nil"/>
            </w:tcBorders>
            <w:shd w:val="clear" w:color="auto" w:fill="FFFFFF"/>
            <w:vAlign w:val="center"/>
          </w:tcPr>
          <w:p w14:paraId="19DF33D2">
            <w:pPr>
              <w:tabs>
                <w:tab w:val="left" w:pos="895"/>
              </w:tabs>
              <w:kinsoku/>
              <w:wordWrap w:val="0"/>
              <w:topLinePunct/>
              <w:autoSpaceDE/>
              <w:autoSpaceDN/>
              <w:spacing w:line="400" w:lineRule="exact"/>
              <w:ind w:left="120" w:leftChars="50"/>
              <w:rPr>
                <w:rFonts w:asciiTheme="minorEastAsia" w:hAnsiTheme="minorEastAsia" w:eastAsiaTheme="minorEastAsia" w:cstheme="minorEastAsia"/>
                <w:color w:val="auto"/>
                <w:szCs w:val="24"/>
              </w:rPr>
            </w:pPr>
            <w:r>
              <w:rPr>
                <w:rFonts w:asciiTheme="minorEastAsia" w:hAnsiTheme="minorEastAsia" w:eastAsiaTheme="minorEastAsia" w:cstheme="minorEastAsia"/>
                <w:color w:val="auto"/>
                <w:szCs w:val="24"/>
              </w:rPr>
              <w:t>1.</w:t>
            </w:r>
            <w:r>
              <w:rPr>
                <w:rFonts w:hint="eastAsia" w:asciiTheme="minorEastAsia" w:hAnsiTheme="minorEastAsia" w:eastAsiaTheme="minorEastAsia" w:cstheme="minorEastAsia"/>
                <w:color w:val="auto"/>
                <w:szCs w:val="24"/>
              </w:rPr>
              <w:t>是否提供交易保证金：</w:t>
            </w:r>
            <w:r>
              <w:rPr>
                <w:rFonts w:asciiTheme="minorEastAsia" w:hAnsiTheme="minorEastAsia" w:eastAsiaTheme="minorEastAsia" w:cstheme="minorEastAsia"/>
                <w:color w:val="auto"/>
                <w:szCs w:val="24"/>
                <w:u w:val="single"/>
              </w:rPr>
              <w:t xml:space="preserve"> </w:t>
            </w:r>
            <w:r>
              <w:rPr>
                <w:rFonts w:hint="eastAsia" w:asciiTheme="minorEastAsia" w:hAnsiTheme="minorEastAsia" w:eastAsiaTheme="minorEastAsia" w:cstheme="minorEastAsia"/>
                <w:color w:val="auto"/>
                <w:szCs w:val="24"/>
                <w:u w:val="single"/>
                <w:lang w:eastAsia="zh-CN"/>
              </w:rPr>
              <w:t>是</w:t>
            </w:r>
            <w:r>
              <w:rPr>
                <w:rFonts w:asciiTheme="minorEastAsia" w:hAnsiTheme="minorEastAsia" w:eastAsiaTheme="minorEastAsia" w:cstheme="minorEastAsia"/>
                <w:color w:val="auto"/>
                <w:szCs w:val="24"/>
                <w:u w:val="single"/>
              </w:rPr>
              <w:t xml:space="preserve">   </w:t>
            </w:r>
          </w:p>
          <w:p w14:paraId="6EF410D6">
            <w:pPr>
              <w:tabs>
                <w:tab w:val="left" w:pos="895"/>
              </w:tabs>
              <w:kinsoku/>
              <w:wordWrap w:val="0"/>
              <w:topLinePunct/>
              <w:autoSpaceDE/>
              <w:autoSpaceDN/>
              <w:spacing w:line="400" w:lineRule="exact"/>
              <w:ind w:left="120" w:leftChars="5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2.金额：人民币</w:t>
            </w:r>
            <w:r>
              <w:rPr>
                <w:rFonts w:asciiTheme="minorEastAsia" w:hAnsiTheme="minorEastAsia" w:eastAsiaTheme="minorEastAsia" w:cstheme="minorEastAsia"/>
                <w:color w:val="auto"/>
                <w:szCs w:val="24"/>
                <w:u w:val="single"/>
              </w:rPr>
              <w:t xml:space="preserve">   </w:t>
            </w:r>
            <w:r>
              <w:rPr>
                <w:rFonts w:hint="eastAsia" w:asciiTheme="minorEastAsia" w:hAnsiTheme="minorEastAsia" w:eastAsiaTheme="minorEastAsia" w:cstheme="minorEastAsia"/>
                <w:color w:val="auto"/>
                <w:szCs w:val="24"/>
                <w:u w:val="single"/>
                <w:lang w:eastAsia="zh-CN"/>
              </w:rPr>
              <w:t>50000</w:t>
            </w:r>
            <w:r>
              <w:rPr>
                <w:rFonts w:asciiTheme="minorEastAsia" w:hAnsiTheme="minorEastAsia" w:eastAsiaTheme="minorEastAsia" w:cstheme="minorEastAsia"/>
                <w:color w:val="auto"/>
                <w:szCs w:val="24"/>
                <w:u w:val="single"/>
              </w:rPr>
              <w:t xml:space="preserve">   </w:t>
            </w:r>
            <w:r>
              <w:rPr>
                <w:rFonts w:hint="eastAsia" w:asciiTheme="minorEastAsia" w:hAnsiTheme="minorEastAsia" w:eastAsiaTheme="minorEastAsia" w:cstheme="minorEastAsia"/>
                <w:color w:val="auto"/>
                <w:szCs w:val="24"/>
              </w:rPr>
              <w:t>元（不得超过项目控制价的2%，且最高不得超过50万元）</w:t>
            </w:r>
          </w:p>
          <w:p w14:paraId="1809F781">
            <w:pPr>
              <w:tabs>
                <w:tab w:val="left" w:pos="895"/>
              </w:tabs>
              <w:kinsoku/>
              <w:wordWrap w:val="0"/>
              <w:topLinePunct/>
              <w:autoSpaceDE/>
              <w:autoSpaceDN/>
              <w:spacing w:line="400" w:lineRule="exact"/>
              <w:ind w:left="120" w:leftChars="50"/>
              <w:rPr>
                <w:rFonts w:asciiTheme="minorEastAsia" w:hAnsiTheme="minorEastAsia" w:eastAsiaTheme="minorEastAsia" w:cstheme="minorEastAsia"/>
                <w:color w:val="auto"/>
                <w:szCs w:val="24"/>
              </w:rPr>
            </w:pPr>
            <w:r>
              <w:rPr>
                <w:rFonts w:asciiTheme="minorEastAsia" w:hAnsiTheme="minorEastAsia" w:eastAsiaTheme="minorEastAsia" w:cstheme="minorEastAsia"/>
                <w:color w:val="auto"/>
                <w:szCs w:val="24"/>
              </w:rPr>
              <w:t>3.</w:t>
            </w:r>
            <w:r>
              <w:rPr>
                <w:rFonts w:hint="eastAsia" w:asciiTheme="minorEastAsia" w:hAnsiTheme="minorEastAsia" w:eastAsiaTheme="minorEastAsia" w:cstheme="minorEastAsia"/>
                <w:color w:val="auto"/>
                <w:szCs w:val="24"/>
              </w:rPr>
              <w:t>交纳</w:t>
            </w:r>
            <w:r>
              <w:rPr>
                <w:rFonts w:hint="eastAsia" w:ascii="宋体" w:hAnsi="宋体" w:eastAsia="宋体" w:cs="宋体"/>
              </w:rPr>
              <w:t>截止</w:t>
            </w:r>
            <w:r>
              <w:rPr>
                <w:rFonts w:hint="eastAsia" w:asciiTheme="minorEastAsia" w:hAnsiTheme="minorEastAsia" w:eastAsiaTheme="minorEastAsia" w:cstheme="minorEastAsia"/>
                <w:color w:val="auto"/>
                <w:szCs w:val="24"/>
              </w:rPr>
              <w:t>期限：</w:t>
            </w:r>
            <w:r>
              <w:rPr>
                <w:rFonts w:hint="eastAsia" w:asciiTheme="minorEastAsia" w:hAnsiTheme="minorEastAsia" w:eastAsiaTheme="minorEastAsia" w:cstheme="minorEastAsia"/>
                <w:color w:val="auto"/>
                <w:szCs w:val="24"/>
                <w:u w:val="single"/>
              </w:rPr>
              <w:t xml:space="preserve">     见交易公告或响应邀请书      </w:t>
            </w:r>
            <w:r>
              <w:rPr>
                <w:rFonts w:hint="eastAsia" w:asciiTheme="minorEastAsia" w:hAnsiTheme="minorEastAsia" w:eastAsiaTheme="minorEastAsia" w:cstheme="minorEastAsia"/>
                <w:color w:val="auto"/>
                <w:szCs w:val="24"/>
              </w:rPr>
              <w:t>。</w:t>
            </w:r>
          </w:p>
          <w:p w14:paraId="50F7C00B">
            <w:pPr>
              <w:tabs>
                <w:tab w:val="left" w:pos="895"/>
              </w:tabs>
              <w:kinsoku/>
              <w:wordWrap w:val="0"/>
              <w:topLinePunct/>
              <w:autoSpaceDE/>
              <w:autoSpaceDN/>
              <w:spacing w:line="400" w:lineRule="exact"/>
              <w:ind w:left="120" w:leftChars="50"/>
              <w:rPr>
                <w:rFonts w:hint="eastAsia" w:asciiTheme="minorEastAsia" w:hAnsiTheme="minorEastAsia" w:eastAsiaTheme="minorEastAsia" w:cstheme="minorEastAsia"/>
                <w:b/>
                <w:bCs/>
                <w:color w:val="auto"/>
                <w:szCs w:val="24"/>
                <w:lang w:eastAsia="zh-CN"/>
              </w:rPr>
            </w:pPr>
            <w:r>
              <w:rPr>
                <w:rFonts w:hint="eastAsia" w:asciiTheme="minorEastAsia" w:hAnsiTheme="minorEastAsia" w:eastAsiaTheme="minorEastAsia" w:cstheme="minorEastAsia"/>
                <w:color w:val="auto"/>
                <w:szCs w:val="24"/>
                <w:lang w:bidi="ar"/>
              </w:rPr>
              <w:t>4.交纳方式：</w:t>
            </w:r>
            <w:r>
              <w:rPr>
                <w:rFonts w:asciiTheme="minorEastAsia" w:hAnsiTheme="minorEastAsia" w:eastAsiaTheme="minorEastAsia" w:cstheme="minorEastAsia"/>
                <w:color w:val="auto"/>
                <w:szCs w:val="24"/>
                <w:u w:val="single"/>
                <w:lang w:bidi="ar"/>
              </w:rPr>
              <w:t xml:space="preserve"> </w:t>
            </w:r>
            <w:r>
              <w:rPr>
                <w:rFonts w:hint="eastAsia" w:asciiTheme="minorEastAsia" w:hAnsiTheme="minorEastAsia" w:eastAsiaTheme="minorEastAsia" w:cstheme="minorEastAsia"/>
                <w:b/>
                <w:bCs/>
                <w:u w:val="single"/>
                <w:lang w:eastAsia="zh-CN"/>
              </w:rPr>
              <w:t>银行转账</w:t>
            </w:r>
          </w:p>
          <w:p w14:paraId="04B80AD6">
            <w:pPr>
              <w:pStyle w:val="10"/>
              <w:widowControl w:val="0"/>
              <w:tabs>
                <w:tab w:val="left" w:pos="312"/>
              </w:tabs>
              <w:kinsoku/>
              <w:autoSpaceDE/>
              <w:autoSpaceDN/>
              <w:spacing w:line="400" w:lineRule="exact"/>
              <w:ind w:left="120" w:leftChars="50"/>
              <w:rPr>
                <w:rFonts w:hAnsi="宋体" w:eastAsia="宋体" w:cs="宋体"/>
                <w:color w:val="auto"/>
                <w:szCs w:val="24"/>
              </w:rPr>
            </w:pPr>
            <w:r>
              <w:rPr>
                <w:rFonts w:hint="eastAsia"/>
                <w:sz w:val="22"/>
                <w:szCs w:val="22"/>
                <w:shd w:val="pct10" w:color="auto" w:fill="FFFFFF"/>
              </w:rPr>
              <w:t>■</w:t>
            </w:r>
            <w:r>
              <w:rPr>
                <w:rFonts w:hint="eastAsia"/>
                <w:b/>
                <w:bCs/>
                <w:szCs w:val="24"/>
                <w:shd w:val="pct10" w:color="auto" w:fill="FFFFFF"/>
                <w:lang w:bidi="ar"/>
              </w:rPr>
              <w:t>（1）</w:t>
            </w:r>
            <w:r>
              <w:rPr>
                <w:rFonts w:hint="eastAsia"/>
                <w:b/>
                <w:bCs/>
                <w:szCs w:val="24"/>
                <w:shd w:val="pct10" w:color="auto" w:fill="FFFFFF"/>
              </w:rPr>
              <w:t>银行转账（通过建易投标保证金平台进行缴存确认</w:t>
            </w:r>
            <w:r>
              <w:rPr>
                <w:rFonts w:hint="eastAsia" w:hAnsi="宋体" w:eastAsia="宋体" w:cs="宋体"/>
                <w:b/>
                <w:bCs/>
                <w:color w:val="auto"/>
                <w:szCs w:val="24"/>
              </w:rPr>
              <w:t>）：</w:t>
            </w:r>
            <w:r>
              <w:rPr>
                <w:rFonts w:hAnsi="宋体" w:eastAsia="宋体" w:cs="宋体"/>
                <w:color w:val="auto"/>
                <w:szCs w:val="24"/>
              </w:rPr>
              <w:t xml:space="preserve"> </w:t>
            </w:r>
          </w:p>
          <w:p w14:paraId="6F7B3403">
            <w:pPr>
              <w:pStyle w:val="10"/>
              <w:widowControl w:val="0"/>
              <w:tabs>
                <w:tab w:val="left" w:pos="312"/>
              </w:tabs>
              <w:kinsoku/>
              <w:autoSpaceDE/>
              <w:autoSpaceDN/>
              <w:spacing w:line="400" w:lineRule="exact"/>
              <w:ind w:left="120" w:leftChars="50"/>
              <w:rPr>
                <w:rFonts w:hAnsi="宋体" w:eastAsia="宋体" w:cs="宋体"/>
                <w:color w:val="auto"/>
                <w:szCs w:val="24"/>
              </w:rPr>
            </w:pPr>
            <w:r>
              <w:rPr>
                <w:rFonts w:hint="eastAsia" w:hAnsi="宋体" w:eastAsia="宋体" w:cs="宋体"/>
                <w:color w:val="auto"/>
                <w:szCs w:val="24"/>
              </w:rPr>
              <w:t>户名：</w:t>
            </w:r>
            <w:r>
              <w:rPr>
                <w:rFonts w:hAnsi="宋体" w:eastAsia="宋体" w:cs="宋体"/>
                <w:color w:val="auto"/>
                <w:szCs w:val="24"/>
                <w:u w:val="single"/>
              </w:rPr>
              <w:t xml:space="preserve">  </w:t>
            </w:r>
            <w:r>
              <w:rPr>
                <w:rFonts w:hint="eastAsia" w:hAnsi="宋体" w:eastAsia="宋体"/>
                <w:u w:val="single"/>
                <w:lang w:eastAsia="zh-CN"/>
              </w:rPr>
              <w:t>杭州市安居集团有限公司交易保证金专户</w:t>
            </w:r>
            <w:r>
              <w:rPr>
                <w:rFonts w:hAnsi="宋体" w:eastAsia="宋体" w:cs="宋体"/>
                <w:color w:val="auto"/>
                <w:szCs w:val="24"/>
                <w:u w:val="single"/>
              </w:rPr>
              <w:t xml:space="preserve">      </w:t>
            </w:r>
            <w:r>
              <w:rPr>
                <w:rFonts w:hint="eastAsia" w:hAnsi="宋体" w:eastAsia="宋体" w:cs="宋体"/>
                <w:color w:val="auto"/>
                <w:szCs w:val="24"/>
              </w:rPr>
              <w:t>。</w:t>
            </w:r>
          </w:p>
          <w:p w14:paraId="371D98A0">
            <w:pPr>
              <w:pStyle w:val="10"/>
              <w:widowControl w:val="0"/>
              <w:tabs>
                <w:tab w:val="left" w:pos="312"/>
              </w:tabs>
              <w:kinsoku/>
              <w:autoSpaceDE/>
              <w:autoSpaceDN/>
              <w:spacing w:line="400" w:lineRule="exact"/>
              <w:ind w:left="120" w:leftChars="50"/>
              <w:rPr>
                <w:rFonts w:hAnsi="宋体" w:eastAsia="宋体" w:cs="宋体"/>
                <w:color w:val="auto"/>
                <w:szCs w:val="24"/>
              </w:rPr>
            </w:pPr>
            <w:r>
              <w:rPr>
                <w:rFonts w:hint="eastAsia" w:hAnsi="宋体" w:eastAsia="宋体" w:cs="宋体"/>
                <w:color w:val="auto"/>
                <w:szCs w:val="24"/>
              </w:rPr>
              <w:t>帐户：</w:t>
            </w:r>
            <w:r>
              <w:rPr>
                <w:rFonts w:hAnsi="宋体" w:eastAsia="宋体" w:cs="宋体"/>
                <w:color w:val="auto"/>
                <w:szCs w:val="24"/>
                <w:u w:val="single"/>
              </w:rPr>
              <w:t xml:space="preserve">    </w:t>
            </w:r>
            <w:r>
              <w:rPr>
                <w:rFonts w:hint="eastAsia" w:hAnsi="宋体" w:eastAsia="宋体"/>
                <w:u w:val="single"/>
                <w:lang w:eastAsia="zh-CN"/>
              </w:rPr>
              <w:t>33050161823500003627</w:t>
            </w:r>
            <w:r>
              <w:rPr>
                <w:rFonts w:asciiTheme="minorEastAsia" w:hAnsiTheme="minorEastAsia" w:eastAsiaTheme="minorEastAsia" w:cstheme="minorEastAsia"/>
                <w:color w:val="auto"/>
                <w:szCs w:val="24"/>
                <w:u w:val="single"/>
                <w:lang w:bidi="ar"/>
              </w:rPr>
              <w:t xml:space="preserve"> </w:t>
            </w:r>
            <w:r>
              <w:rPr>
                <w:rFonts w:hAnsi="宋体" w:eastAsia="宋体" w:cs="宋体"/>
                <w:color w:val="auto"/>
                <w:szCs w:val="24"/>
                <w:u w:val="single"/>
              </w:rPr>
              <w:t xml:space="preserve">               </w:t>
            </w:r>
            <w:r>
              <w:rPr>
                <w:rFonts w:hint="eastAsia" w:hAnsi="宋体" w:eastAsia="宋体" w:cs="宋体"/>
                <w:color w:val="auto"/>
                <w:szCs w:val="24"/>
              </w:rPr>
              <w:t>。</w:t>
            </w:r>
          </w:p>
          <w:p w14:paraId="5FA92EF0">
            <w:pPr>
              <w:pStyle w:val="10"/>
              <w:widowControl w:val="0"/>
              <w:tabs>
                <w:tab w:val="left" w:pos="312"/>
              </w:tabs>
              <w:kinsoku/>
              <w:autoSpaceDE/>
              <w:autoSpaceDN/>
              <w:spacing w:line="400" w:lineRule="exact"/>
              <w:ind w:left="120" w:leftChars="50"/>
              <w:rPr>
                <w:rFonts w:hAnsi="宋体" w:eastAsia="宋体" w:cs="宋体"/>
                <w:color w:val="auto"/>
                <w:szCs w:val="24"/>
              </w:rPr>
            </w:pPr>
            <w:r>
              <w:rPr>
                <w:rFonts w:hint="eastAsia" w:hAnsi="宋体" w:eastAsia="宋体" w:cs="宋体"/>
                <w:color w:val="auto"/>
                <w:szCs w:val="24"/>
              </w:rPr>
              <w:t>开户银行：</w:t>
            </w:r>
            <w:r>
              <w:rPr>
                <w:rFonts w:hint="eastAsia" w:hAnsi="宋体" w:eastAsia="宋体" w:cs="宋体"/>
                <w:color w:val="auto"/>
                <w:szCs w:val="24"/>
                <w:u w:val="single"/>
                <w:lang w:eastAsia="zh-CN"/>
              </w:rPr>
              <w:t>中国建设银行股份有限公司杭州中山支行</w:t>
            </w:r>
            <w:r>
              <w:rPr>
                <w:rFonts w:hAnsi="宋体" w:eastAsia="宋体" w:cs="宋体"/>
                <w:color w:val="auto"/>
                <w:szCs w:val="24"/>
                <w:u w:val="single"/>
              </w:rPr>
              <w:t xml:space="preserve">   </w:t>
            </w:r>
            <w:r>
              <w:rPr>
                <w:rFonts w:hint="eastAsia" w:hAnsi="宋体" w:eastAsia="宋体" w:cs="宋体"/>
                <w:color w:val="auto"/>
                <w:szCs w:val="24"/>
              </w:rPr>
              <w:t>。</w:t>
            </w:r>
          </w:p>
          <w:p w14:paraId="476A4F6B">
            <w:pPr>
              <w:pStyle w:val="10"/>
              <w:widowControl w:val="0"/>
              <w:tabs>
                <w:tab w:val="left" w:pos="312"/>
              </w:tabs>
              <w:spacing w:line="400" w:lineRule="exact"/>
              <w:ind w:left="120" w:leftChars="50"/>
              <w:rPr>
                <w:rFonts w:hAnsi="宋体" w:eastAsia="宋体" w:cs="宋体"/>
                <w:color w:val="auto"/>
                <w:szCs w:val="24"/>
              </w:rPr>
            </w:pPr>
            <w:r>
              <w:rPr>
                <w:rFonts w:hint="eastAsia" w:hAnsi="宋体" w:eastAsia="宋体" w:cs="宋体"/>
                <w:color w:val="auto"/>
                <w:szCs w:val="24"/>
              </w:rPr>
              <w:t>重要提醒：</w:t>
            </w:r>
          </w:p>
          <w:p w14:paraId="5B0BBA02">
            <w:pPr>
              <w:pStyle w:val="10"/>
              <w:widowControl w:val="0"/>
              <w:numPr>
                <w:ilvl w:val="0"/>
                <w:numId w:val="4"/>
              </w:numPr>
              <w:tabs>
                <w:tab w:val="left" w:pos="312"/>
              </w:tabs>
              <w:kinsoku/>
              <w:autoSpaceDE/>
              <w:autoSpaceDN/>
              <w:spacing w:line="400" w:lineRule="exact"/>
              <w:ind w:left="120" w:leftChars="50" w:firstLine="0"/>
              <w:rPr>
                <w:rFonts w:hAnsi="宋体" w:eastAsia="宋体" w:cs="宋体"/>
                <w:color w:val="auto"/>
                <w:szCs w:val="24"/>
              </w:rPr>
            </w:pPr>
            <w:r>
              <w:rPr>
                <w:rFonts w:hint="eastAsia" w:hAnsi="宋体" w:eastAsia="宋体" w:cs="宋体"/>
                <w:color w:val="auto"/>
                <w:szCs w:val="24"/>
              </w:rPr>
              <w:t>保证金缴存关联相关路径：用户可登录招必得建易招标采购平台（https://www.zhaobide.com/），点击导航栏的“保证金”模块，跳转至建易投标保证金平台，根据项目进行保证金缴存申请及缴存关联确认，可点击“操作手册”查看保证金平台操作手册，平台咨询电话：400-0666-571，QQ：3007923378。</w:t>
            </w:r>
          </w:p>
          <w:p w14:paraId="699CDBE5">
            <w:pPr>
              <w:pStyle w:val="10"/>
              <w:widowControl w:val="0"/>
              <w:numPr>
                <w:ilvl w:val="0"/>
                <w:numId w:val="4"/>
              </w:numPr>
              <w:tabs>
                <w:tab w:val="left" w:pos="312"/>
              </w:tabs>
              <w:kinsoku/>
              <w:autoSpaceDE/>
              <w:autoSpaceDN/>
              <w:spacing w:line="400" w:lineRule="exact"/>
              <w:ind w:left="120" w:leftChars="50" w:firstLine="0"/>
              <w:rPr>
                <w:rFonts w:hAnsi="宋体" w:eastAsia="宋体" w:cs="宋体"/>
                <w:b/>
                <w:bCs/>
                <w:color w:val="auto"/>
                <w:szCs w:val="24"/>
                <w:highlight w:val="yellow"/>
              </w:rPr>
            </w:pPr>
            <w:r>
              <w:rPr>
                <w:rFonts w:hint="eastAsia" w:hAnsi="宋体" w:eastAsia="宋体" w:cs="宋体"/>
                <w:b/>
                <w:bCs/>
                <w:color w:val="auto"/>
                <w:szCs w:val="24"/>
                <w:highlight w:val="yellow"/>
              </w:rPr>
              <w:t>应当从潜在承包人基本账户转出，转账完成后须在建易交易保证金平台上进行项目关联操作后才可认为项目保证金交纳成功，并可下载缴存确认单（根据项目进行单笔转账，不支持合并转账）。</w:t>
            </w:r>
          </w:p>
          <w:p w14:paraId="0031BB3A">
            <w:pPr>
              <w:pStyle w:val="10"/>
              <w:widowControl w:val="0"/>
              <w:numPr>
                <w:ilvl w:val="0"/>
                <w:numId w:val="4"/>
              </w:numPr>
              <w:tabs>
                <w:tab w:val="left" w:pos="312"/>
              </w:tabs>
              <w:kinsoku/>
              <w:autoSpaceDE/>
              <w:autoSpaceDN/>
              <w:spacing w:line="400" w:lineRule="exact"/>
              <w:ind w:left="120" w:leftChars="50" w:firstLine="0"/>
              <w:rPr>
                <w:rFonts w:hAnsi="宋体" w:eastAsia="宋体" w:cs="宋体"/>
                <w:color w:val="auto"/>
                <w:szCs w:val="24"/>
              </w:rPr>
            </w:pPr>
            <w:r>
              <w:rPr>
                <w:rFonts w:hint="eastAsia" w:hAnsi="宋体" w:eastAsia="宋体" w:cs="宋体"/>
                <w:b/>
                <w:bCs/>
                <w:color w:val="auto"/>
                <w:szCs w:val="24"/>
                <w:highlight w:val="yellow"/>
              </w:rPr>
              <w:t>开标时，以招必得建易招标采购平台的保证金缴存关联数据回传作为交易保证金交纳的依据。</w:t>
            </w:r>
          </w:p>
          <w:p w14:paraId="5DD1CB22">
            <w:pPr>
              <w:widowControl w:val="0"/>
              <w:tabs>
                <w:tab w:val="left" w:pos="312"/>
              </w:tabs>
              <w:kinsoku/>
              <w:wordWrap w:val="0"/>
              <w:ind w:left="120" w:leftChars="50"/>
              <w:rPr>
                <w:sz w:val="22"/>
                <w:szCs w:val="22"/>
                <w:shd w:val="pct10" w:color="auto" w:fill="FFFFFF"/>
              </w:rPr>
            </w:pPr>
          </w:p>
          <w:p w14:paraId="49DC4EC1">
            <w:pPr>
              <w:pStyle w:val="10"/>
              <w:widowControl w:val="0"/>
              <w:tabs>
                <w:tab w:val="left" w:pos="312"/>
              </w:tabs>
              <w:kinsoku/>
              <w:autoSpaceDE/>
              <w:autoSpaceDN/>
              <w:spacing w:line="400" w:lineRule="exact"/>
              <w:rPr>
                <w:szCs w:val="24"/>
                <w:shd w:val="pct10" w:color="auto" w:fill="FFFFFF"/>
              </w:rPr>
            </w:pPr>
            <w:r>
              <w:rPr>
                <w:rFonts w:hint="eastAsia"/>
                <w:sz w:val="22"/>
                <w:szCs w:val="22"/>
                <w:shd w:val="pct10" w:color="auto" w:fill="FFFFFF"/>
              </w:rPr>
              <w:t>□</w:t>
            </w:r>
            <w:r>
              <w:rPr>
                <w:rFonts w:hint="eastAsia"/>
                <w:b/>
                <w:bCs/>
                <w:szCs w:val="24"/>
                <w:shd w:val="pct10" w:color="auto" w:fill="FFFFFF"/>
                <w:lang w:bidi="ar"/>
              </w:rPr>
              <w:t>（2）</w:t>
            </w:r>
            <w:r>
              <w:rPr>
                <w:rFonts w:hint="eastAsia"/>
                <w:b/>
                <w:bCs/>
                <w:szCs w:val="24"/>
                <w:shd w:val="pct10" w:color="auto" w:fill="FFFFFF"/>
              </w:rPr>
              <w:t>保证保险（通过建易投标保证金平台申请）：</w:t>
            </w:r>
          </w:p>
          <w:p w14:paraId="2A30900E">
            <w:pPr>
              <w:pStyle w:val="10"/>
              <w:widowControl w:val="0"/>
              <w:tabs>
                <w:tab w:val="left" w:pos="312"/>
              </w:tabs>
              <w:spacing w:line="400" w:lineRule="exact"/>
              <w:ind w:left="120" w:leftChars="50"/>
              <w:rPr>
                <w:rFonts w:hAnsi="宋体" w:eastAsia="宋体" w:cs="宋体"/>
                <w:color w:val="auto"/>
                <w:szCs w:val="24"/>
              </w:rPr>
            </w:pPr>
            <w:r>
              <w:rPr>
                <w:rFonts w:hint="eastAsia" w:hAnsi="宋体" w:eastAsia="宋体" w:cs="宋体"/>
                <w:color w:val="auto"/>
                <w:szCs w:val="24"/>
              </w:rPr>
              <w:t>重要提醒：</w:t>
            </w:r>
          </w:p>
          <w:p w14:paraId="1BE7EBCB">
            <w:pPr>
              <w:pStyle w:val="10"/>
              <w:widowControl w:val="0"/>
              <w:numPr>
                <w:ilvl w:val="0"/>
                <w:numId w:val="5"/>
              </w:numPr>
              <w:tabs>
                <w:tab w:val="left" w:pos="312"/>
              </w:tabs>
              <w:kinsoku/>
              <w:autoSpaceDE/>
              <w:autoSpaceDN/>
              <w:spacing w:line="400" w:lineRule="exact"/>
              <w:ind w:left="0" w:firstLine="480"/>
              <w:rPr>
                <w:rFonts w:hAnsi="宋体" w:eastAsia="宋体" w:cs="宋体"/>
                <w:snapToGrid/>
                <w:color w:val="auto"/>
                <w:szCs w:val="24"/>
              </w:rPr>
            </w:pPr>
            <w:r>
              <w:rPr>
                <w:rFonts w:hint="eastAsia" w:hAnsi="宋体" w:eastAsia="宋体" w:cs="宋体"/>
                <w:color w:val="auto"/>
                <w:szCs w:val="24"/>
              </w:rPr>
              <w:t>申请保证保险相关路径：用户可登录招必得建易招标采购平台（https://www.zhaobide.com/），点击导航栏的“保证金”模块，跳转至建易投标保证金平台，选择“电子投标保证保险[立即申请]”进入金联安保证保险平台，通过项目编号或项目名称“引入项目”按提示操作，可点击“查看操作指引”查看操作手册，平台咨询电话：400-0666-571，QQ：3007923378。</w:t>
            </w:r>
          </w:p>
          <w:p w14:paraId="0750C1F1">
            <w:pPr>
              <w:pStyle w:val="10"/>
              <w:widowControl w:val="0"/>
              <w:numPr>
                <w:ilvl w:val="0"/>
                <w:numId w:val="5"/>
              </w:numPr>
              <w:tabs>
                <w:tab w:val="left" w:pos="312"/>
              </w:tabs>
              <w:kinsoku/>
              <w:autoSpaceDE/>
              <w:autoSpaceDN/>
              <w:spacing w:line="400" w:lineRule="exact"/>
              <w:ind w:left="0" w:firstLine="480"/>
              <w:rPr>
                <w:rFonts w:hAnsi="宋体" w:eastAsia="宋体" w:cs="宋体"/>
                <w:snapToGrid/>
                <w:color w:val="auto"/>
                <w:szCs w:val="24"/>
              </w:rPr>
            </w:pPr>
            <w:r>
              <w:rPr>
                <w:rFonts w:hint="eastAsia" w:hAnsi="宋体" w:eastAsia="宋体" w:cs="宋体"/>
                <w:color w:val="auto"/>
                <w:szCs w:val="24"/>
              </w:rPr>
              <w:t>申请保证保险相关链接：https://bzj.zhaobide.com，申请保证保险选择城投集团小额电子标（或登录招必得APP，申请保证保险），平台咨询电话：400-0666-571，QQ：3007923378。</w:t>
            </w:r>
          </w:p>
          <w:p w14:paraId="76BDCBFC">
            <w:pPr>
              <w:pStyle w:val="10"/>
              <w:widowControl w:val="0"/>
              <w:numPr>
                <w:ilvl w:val="0"/>
                <w:numId w:val="5"/>
              </w:numPr>
              <w:tabs>
                <w:tab w:val="left" w:pos="312"/>
              </w:tabs>
              <w:kinsoku/>
              <w:autoSpaceDE/>
              <w:autoSpaceDN/>
              <w:spacing w:line="400" w:lineRule="exact"/>
              <w:ind w:left="0" w:firstLine="480"/>
              <w:rPr>
                <w:rFonts w:hAnsi="宋体" w:eastAsia="宋体" w:cs="宋体"/>
                <w:snapToGrid/>
                <w:color w:val="auto"/>
                <w:szCs w:val="24"/>
              </w:rPr>
            </w:pPr>
            <w:r>
              <w:rPr>
                <w:rFonts w:hint="eastAsia" w:hAnsi="宋体" w:eastAsia="宋体" w:cs="宋体"/>
                <w:color w:val="auto"/>
                <w:szCs w:val="24"/>
              </w:rPr>
              <w:t>申请保证保险，用户需完成以下所有步骤：资料申请、信息确认提交、缴纳保费、关联确认、自动核保/生成保单、查看并下载保单。</w:t>
            </w:r>
          </w:p>
          <w:p w14:paraId="77BA6471">
            <w:pPr>
              <w:pStyle w:val="10"/>
              <w:widowControl w:val="0"/>
              <w:numPr>
                <w:ilvl w:val="0"/>
                <w:numId w:val="5"/>
              </w:numPr>
              <w:tabs>
                <w:tab w:val="left" w:pos="312"/>
              </w:tabs>
              <w:kinsoku/>
              <w:autoSpaceDE/>
              <w:autoSpaceDN/>
              <w:spacing w:line="400" w:lineRule="exact"/>
              <w:ind w:left="0" w:firstLine="482"/>
              <w:rPr>
                <w:rFonts w:hAnsi="宋体" w:eastAsia="宋体" w:cs="宋体"/>
                <w:b/>
                <w:bCs/>
                <w:color w:val="auto"/>
                <w:szCs w:val="24"/>
                <w:highlight w:val="yellow"/>
              </w:rPr>
            </w:pPr>
            <w:r>
              <w:rPr>
                <w:rFonts w:hint="eastAsia" w:hAnsi="宋体" w:eastAsia="宋体" w:cs="宋体"/>
                <w:b/>
                <w:bCs/>
                <w:color w:val="auto"/>
                <w:szCs w:val="24"/>
                <w:highlight w:val="yellow"/>
              </w:rPr>
              <w:t>注意：缴纳保费请使用招必得</w:t>
            </w:r>
            <w:r>
              <w:rPr>
                <w:rFonts w:hAnsi="宋体" w:eastAsia="宋体" w:cs="宋体"/>
                <w:b/>
                <w:bCs/>
                <w:color w:val="auto"/>
                <w:szCs w:val="24"/>
                <w:highlight w:val="yellow"/>
              </w:rPr>
              <w:t>-建易投标保证金平台，右上角“我的信息”中的企业银行账户进行打款；</w:t>
            </w:r>
            <w:r>
              <w:rPr>
                <w:rFonts w:hint="eastAsia" w:hAnsi="宋体" w:eastAsia="宋体" w:cs="宋体"/>
                <w:b/>
                <w:bCs/>
                <w:color w:val="auto"/>
                <w:szCs w:val="24"/>
                <w:highlight w:val="yellow"/>
              </w:rPr>
              <w:t>打款完成请根据提示继续完成投标保证保险的关联（根据项目进行单笔缴纳，不支持合并缴纳），确认后可打印保单。</w:t>
            </w:r>
          </w:p>
          <w:p w14:paraId="21940FC2">
            <w:pPr>
              <w:pStyle w:val="10"/>
              <w:widowControl w:val="0"/>
              <w:numPr>
                <w:ilvl w:val="0"/>
                <w:numId w:val="5"/>
              </w:numPr>
              <w:tabs>
                <w:tab w:val="left" w:pos="312"/>
              </w:tabs>
              <w:kinsoku/>
              <w:autoSpaceDE/>
              <w:autoSpaceDN/>
              <w:spacing w:line="400" w:lineRule="exact"/>
              <w:ind w:left="0" w:firstLine="482"/>
              <w:rPr>
                <w:rFonts w:hAnsi="宋体" w:eastAsia="宋体" w:cs="宋体"/>
                <w:b/>
                <w:bCs/>
                <w:color w:val="auto"/>
                <w:szCs w:val="24"/>
                <w:highlight w:val="yellow"/>
              </w:rPr>
            </w:pPr>
            <w:r>
              <w:rPr>
                <w:rFonts w:hint="eastAsia" w:hAnsi="宋体" w:eastAsia="宋体" w:cs="宋体"/>
                <w:b/>
                <w:bCs/>
                <w:color w:val="auto"/>
                <w:szCs w:val="24"/>
                <w:highlight w:val="yellow"/>
              </w:rPr>
              <w:t>开标时，保证保险方式以招必得建易招标采购平台的保证保险数据回传作为交易保证金缴存的依据。</w:t>
            </w:r>
          </w:p>
          <w:p w14:paraId="30F2F679">
            <w:pPr>
              <w:pStyle w:val="10"/>
              <w:widowControl w:val="0"/>
              <w:tabs>
                <w:tab w:val="left" w:pos="312"/>
              </w:tabs>
              <w:kinsoku/>
              <w:wordWrap w:val="0"/>
              <w:topLinePunct/>
              <w:autoSpaceDE/>
              <w:autoSpaceDN/>
              <w:spacing w:line="400" w:lineRule="exact"/>
              <w:ind w:left="120" w:leftChars="50"/>
              <w:rPr>
                <w:rFonts w:hAnsi="宋体" w:eastAsia="宋体" w:cs="宋体"/>
                <w:color w:val="auto"/>
                <w:szCs w:val="24"/>
              </w:rPr>
            </w:pPr>
            <w:r>
              <w:rPr>
                <w:rFonts w:hint="eastAsia" w:hAnsi="宋体" w:eastAsia="宋体" w:cs="宋体"/>
                <w:color w:val="auto"/>
                <w:szCs w:val="24"/>
              </w:rPr>
              <w:t>5.其他说明：重新发包项目，参与交易的潜在承包人仍需按上述规定要求重新递交交易担保。</w:t>
            </w:r>
          </w:p>
        </w:tc>
      </w:tr>
      <w:tr w14:paraId="3F6AD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295D117F">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478BEC6B">
            <w:pPr>
              <w:kinsoku/>
              <w:wordWrap w:val="0"/>
              <w:topLinePunct/>
              <w:autoSpaceDE/>
              <w:autoSpaceDN/>
              <w:adjustRightInd/>
              <w:snapToGrid/>
              <w:spacing w:before="120" w:beforeLines="50"/>
              <w:ind w:left="120" w:leftChars="50" w:right="242" w:rightChars="101"/>
              <w:jc w:val="center"/>
              <w:rPr>
                <w:rFonts w:ascii="宋体" w:hAnsi="宋体" w:eastAsia="宋体" w:cs="宋体"/>
                <w:color w:val="auto"/>
                <w:szCs w:val="24"/>
              </w:rPr>
            </w:pPr>
            <w:r>
              <w:rPr>
                <w:rFonts w:hint="eastAsia" w:ascii="宋体" w:hAnsi="宋体" w:eastAsia="宋体" w:cs="宋体"/>
                <w:color w:val="auto"/>
                <w:szCs w:val="24"/>
              </w:rPr>
              <w:t>电子响应文件的制作、加密和盖章要求</w:t>
            </w:r>
          </w:p>
        </w:tc>
        <w:tc>
          <w:tcPr>
            <w:tcW w:w="6480" w:type="dxa"/>
            <w:tcBorders>
              <w:tl2br w:val="nil"/>
              <w:tr2bl w:val="nil"/>
            </w:tcBorders>
            <w:shd w:val="clear" w:color="auto" w:fill="FFFFFF"/>
          </w:tcPr>
          <w:p w14:paraId="13C63CED">
            <w:pPr>
              <w:numPr>
                <w:ilvl w:val="0"/>
                <w:numId w:val="6"/>
              </w:numPr>
              <w:kinsoku/>
              <w:wordWrap w:val="0"/>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下载最新版“招必得-电子投标工具”并安装，完成响应文件制作，生成后缀名为“.加密投标书”的电子响应文件。电子投标工具详见招必得网站（</w:t>
            </w:r>
            <w:r>
              <w:fldChar w:fldCharType="begin"/>
            </w:r>
            <w:r>
              <w:instrText xml:space="preserve"> HYPERLINK "https://zhaobide.com/Web/DownloadPage" \t "_blank" </w:instrText>
            </w:r>
            <w:r>
              <w:fldChar w:fldCharType="separate"/>
            </w:r>
            <w:r>
              <w:rPr>
                <w:rFonts w:ascii="宋体" w:hAnsi="宋体" w:eastAsia="宋体" w:cs="宋体"/>
                <w:color w:val="auto"/>
                <w:szCs w:val="24"/>
              </w:rPr>
              <w:t>https://www.zhaobide.com/Web/DownloadPage</w:t>
            </w:r>
            <w:r>
              <w:rPr>
                <w:rFonts w:ascii="宋体" w:hAnsi="宋体" w:eastAsia="宋体" w:cs="宋体"/>
                <w:color w:val="auto"/>
                <w:szCs w:val="24"/>
              </w:rPr>
              <w:fldChar w:fldCharType="end"/>
            </w:r>
            <w:r>
              <w:rPr>
                <w:rFonts w:hint="eastAsia" w:ascii="宋体" w:hAnsi="宋体" w:eastAsia="宋体" w:cs="宋体"/>
                <w:color w:val="auto"/>
                <w:szCs w:val="24"/>
              </w:rPr>
              <w:t>）首页并进入</w:t>
            </w:r>
            <w:r>
              <w:rPr>
                <w:rFonts w:ascii="宋体" w:hAnsi="宋体" w:eastAsia="宋体" w:cs="宋体"/>
                <w:color w:val="auto"/>
                <w:szCs w:val="24"/>
              </w:rPr>
              <w:t>“</w:t>
            </w:r>
            <w:r>
              <w:rPr>
                <w:rFonts w:hint="eastAsia" w:ascii="宋体" w:hAnsi="宋体" w:eastAsia="宋体" w:cs="宋体"/>
                <w:color w:val="auto"/>
                <w:szCs w:val="24"/>
              </w:rPr>
              <w:t>工具下载”页面。</w:t>
            </w:r>
          </w:p>
          <w:p w14:paraId="313C817C">
            <w:pPr>
              <w:kinsoku/>
              <w:wordWrap w:val="0"/>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注：生成的电子响应文件在投标工具中打开，查看是否可以正常打开，否则影响响应文件正常解密。</w:t>
            </w:r>
          </w:p>
          <w:p w14:paraId="08C1F711">
            <w:pPr>
              <w:numPr>
                <w:ilvl w:val="0"/>
                <w:numId w:val="6"/>
              </w:numPr>
              <w:kinsoku/>
              <w:wordWrap w:val="0"/>
              <w:autoSpaceDE/>
              <w:autoSpaceDN/>
              <w:spacing w:line="400" w:lineRule="exact"/>
              <w:ind w:left="120" w:leftChars="50"/>
              <w:rPr>
                <w:rFonts w:ascii="宋体" w:hAnsi="宋体" w:eastAsia="宋体" w:cs="宋体"/>
                <w:color w:val="auto"/>
                <w:szCs w:val="24"/>
              </w:rPr>
            </w:pPr>
            <w:r>
              <w:rPr>
                <w:rFonts w:hint="eastAsia" w:ascii="宋体" w:hAnsi="宋体" w:eastAsia="宋体" w:cs="宋体"/>
                <w:szCs w:val="24"/>
              </w:rPr>
              <w:t>电子响应文件包括</w:t>
            </w:r>
            <w:r>
              <w:rPr>
                <w:rFonts w:hint="eastAsia" w:ascii="宋体" w:hAnsi="宋体" w:eastAsia="宋体" w:cs="宋体"/>
                <w:bCs/>
                <w:szCs w:val="24"/>
              </w:rPr>
              <w:t>资信标及资格审查文件、</w:t>
            </w:r>
            <w:r>
              <w:rPr>
                <w:rFonts w:hint="eastAsia" w:ascii="宋体" w:hAnsi="宋体" w:eastAsia="宋体" w:cs="宋体"/>
                <w:szCs w:val="24"/>
              </w:rPr>
              <w:t>技术标、商务标</w:t>
            </w:r>
            <w:r>
              <w:rPr>
                <w:rFonts w:ascii="宋体" w:hAnsi="宋体" w:eastAsia="宋体" w:cs="宋体"/>
                <w:szCs w:val="24"/>
              </w:rPr>
              <w:t>3</w:t>
            </w:r>
            <w:r>
              <w:rPr>
                <w:rFonts w:hint="eastAsia" w:ascii="宋体" w:hAnsi="宋体" w:eastAsia="宋体" w:cs="宋体"/>
                <w:szCs w:val="24"/>
              </w:rPr>
              <w:t>个部分，应分别放入投标工具相应的模块。</w:t>
            </w:r>
          </w:p>
          <w:p w14:paraId="3A531E5C">
            <w:pPr>
              <w:numPr>
                <w:ilvl w:val="0"/>
                <w:numId w:val="6"/>
              </w:numPr>
              <w:kinsoku/>
              <w:wordWrap w:val="0"/>
              <w:autoSpaceDE/>
              <w:autoSpaceDN/>
              <w:spacing w:line="400" w:lineRule="exact"/>
              <w:ind w:left="120" w:leftChars="50"/>
              <w:rPr>
                <w:rFonts w:ascii="宋体" w:hAnsi="宋体" w:eastAsia="宋体" w:cs="宋体"/>
                <w:szCs w:val="24"/>
              </w:rPr>
            </w:pPr>
            <w:r>
              <w:rPr>
                <w:rFonts w:hint="eastAsia" w:ascii="宋体" w:hAnsi="宋体" w:eastAsia="宋体" w:cs="宋体"/>
                <w:szCs w:val="24"/>
              </w:rPr>
              <w:t>响应文件格式文件要求潜在承包人盖章、法定代表人印章的地方，潜在承包人均应使用CA数字证书加盖潜在承包人的单位电子印章、法定代表人个人电子印章。联合体响应的，除联合体协议书、响应函格式之外的仅由联合体牵头人加盖单位电子印章、法定代表人个人电子印章即可。</w:t>
            </w:r>
          </w:p>
          <w:p w14:paraId="068364FA">
            <w:pPr>
              <w:numPr>
                <w:ilvl w:val="0"/>
                <w:numId w:val="6"/>
              </w:numPr>
              <w:kinsoku/>
              <w:wordWrap w:val="0"/>
              <w:autoSpaceDE/>
              <w:autoSpaceDN/>
              <w:spacing w:line="400" w:lineRule="exact"/>
              <w:ind w:left="120" w:leftChars="50"/>
              <w:rPr>
                <w:rFonts w:ascii="宋体" w:hAnsi="宋体" w:eastAsia="宋体" w:cs="宋体"/>
                <w:snapToGrid/>
                <w:szCs w:val="24"/>
              </w:rPr>
            </w:pPr>
            <w:r>
              <w:rPr>
                <w:rFonts w:hint="eastAsia"/>
                <w:sz w:val="22"/>
                <w:szCs w:val="22"/>
                <w:shd w:val="pct10" w:color="auto" w:fill="FFFFFF"/>
              </w:rPr>
              <w:t>■</w:t>
            </w:r>
            <w:r>
              <w:rPr>
                <w:rFonts w:hint="eastAsia" w:ascii="宋体" w:hAnsi="宋体" w:eastAsia="宋体" w:cs="宋体"/>
                <w:szCs w:val="24"/>
              </w:rPr>
              <w:t>响应文件所附证书证件、业绩证明文件、交易保证金等证明材料用原件复制件并加盖潜在承包人电子印章。</w:t>
            </w:r>
          </w:p>
        </w:tc>
      </w:tr>
      <w:tr w14:paraId="3FEF0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4DD157A2">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5EF55B6A">
            <w:pPr>
              <w:kinsoku/>
              <w:wordWrap w:val="0"/>
              <w:topLinePunct/>
              <w:autoSpaceDE/>
              <w:autoSpaceDN/>
              <w:adjustRightInd/>
              <w:snapToGrid/>
              <w:spacing w:before="120" w:beforeLines="50"/>
              <w:ind w:left="120" w:leftChars="50" w:right="242" w:rightChars="101"/>
              <w:jc w:val="center"/>
              <w:rPr>
                <w:rFonts w:ascii="宋体" w:hAnsi="宋体" w:eastAsia="宋体" w:cs="宋体"/>
                <w:color w:val="auto"/>
                <w:szCs w:val="24"/>
              </w:rPr>
            </w:pPr>
            <w:r>
              <w:rPr>
                <w:rFonts w:hint="eastAsia" w:ascii="宋体" w:hAnsi="宋体" w:eastAsia="宋体" w:cs="宋体"/>
                <w:color w:val="auto"/>
                <w:szCs w:val="24"/>
              </w:rPr>
              <w:t>开标准备</w:t>
            </w:r>
          </w:p>
        </w:tc>
        <w:tc>
          <w:tcPr>
            <w:tcW w:w="6480" w:type="dxa"/>
            <w:tcBorders>
              <w:tl2br w:val="nil"/>
              <w:tr2bl w:val="nil"/>
            </w:tcBorders>
            <w:shd w:val="clear" w:color="auto" w:fill="FFFFFF"/>
          </w:tcPr>
          <w:p w14:paraId="3035C70F">
            <w:pPr>
              <w:pStyle w:val="12"/>
              <w:kinsoku/>
              <w:spacing w:line="400" w:lineRule="exact"/>
              <w:ind w:left="120" w:leftChars="50"/>
              <w:rPr>
                <w:rFonts w:ascii="宋体" w:hAnsi="宋体" w:eastAsia="宋体" w:cs="宋体"/>
                <w:color w:val="auto"/>
                <w:szCs w:val="24"/>
              </w:rPr>
            </w:pPr>
          </w:p>
          <w:p w14:paraId="22FE9AA7">
            <w:pPr>
              <w:pStyle w:val="12"/>
              <w:kinsoku/>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发包人或代理机构在进入开标前应开启项目直播，直播工具可在电子交易平台下载；潜在承包人可在开标时进入“城投云上开标大厅”（网址）观看开标情况。</w:t>
            </w:r>
          </w:p>
          <w:p w14:paraId="7613A5B9">
            <w:pPr>
              <w:pStyle w:val="12"/>
              <w:kinsoku/>
              <w:spacing w:line="400" w:lineRule="exact"/>
              <w:ind w:left="120" w:leftChars="50"/>
              <w:rPr>
                <w:rFonts w:ascii="宋体" w:hAnsi="宋体" w:eastAsia="宋体" w:cs="宋体"/>
                <w:color w:val="auto"/>
                <w:szCs w:val="24"/>
              </w:rPr>
            </w:pPr>
          </w:p>
        </w:tc>
      </w:tr>
      <w:tr w14:paraId="7F36F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299EEB49">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7E8E9F0D">
            <w:pPr>
              <w:tabs>
                <w:tab w:val="left" w:pos="434"/>
              </w:tabs>
              <w:kinsoku/>
              <w:wordWrap w:val="0"/>
              <w:topLinePunct/>
              <w:autoSpaceDE/>
              <w:autoSpaceDN/>
              <w:adjustRightInd/>
              <w:snapToGrid/>
              <w:spacing w:before="120" w:beforeLines="50"/>
              <w:ind w:left="120" w:leftChars="50"/>
              <w:jc w:val="center"/>
              <w:rPr>
                <w:rFonts w:ascii="宋体" w:hAnsi="宋体" w:eastAsia="宋体" w:cs="宋体"/>
                <w:color w:val="auto"/>
                <w:szCs w:val="24"/>
              </w:rPr>
            </w:pPr>
            <w:r>
              <w:rPr>
                <w:rFonts w:hint="eastAsia" w:ascii="宋体" w:hAnsi="宋体" w:eastAsia="宋体" w:cs="宋体"/>
                <w:color w:val="auto"/>
                <w:szCs w:val="24"/>
              </w:rPr>
              <w:t>评审办法</w:t>
            </w:r>
          </w:p>
        </w:tc>
        <w:tc>
          <w:tcPr>
            <w:tcW w:w="6480" w:type="dxa"/>
            <w:tcBorders>
              <w:tl2br w:val="nil"/>
              <w:tr2bl w:val="nil"/>
            </w:tcBorders>
            <w:shd w:val="clear" w:color="auto" w:fill="FFFFFF"/>
          </w:tcPr>
          <w:p w14:paraId="5FE27F4B">
            <w:pPr>
              <w:tabs>
                <w:tab w:val="left" w:pos="434"/>
              </w:tabs>
              <w:kinsoku/>
              <w:wordWrap w:val="0"/>
              <w:topLinePunct/>
              <w:autoSpaceDE/>
              <w:autoSpaceDN/>
              <w:spacing w:line="400" w:lineRule="exact"/>
              <w:ind w:left="120" w:leftChars="50"/>
              <w:rPr>
                <w:rFonts w:ascii="宋体" w:hAnsi="宋体" w:eastAsia="宋体" w:cs="宋体"/>
                <w:szCs w:val="24"/>
              </w:rPr>
            </w:pPr>
            <w:r>
              <w:rPr>
                <w:rFonts w:hint="eastAsia"/>
                <w:sz w:val="22"/>
                <w:szCs w:val="22"/>
                <w:shd w:val="pct10" w:color="auto" w:fill="FFFFFF"/>
              </w:rPr>
              <w:t>□</w:t>
            </w:r>
            <w:r>
              <w:rPr>
                <w:rFonts w:hint="eastAsia" w:ascii="宋体" w:hAnsi="宋体" w:eastAsia="宋体" w:cs="宋体"/>
                <w:szCs w:val="24"/>
              </w:rPr>
              <w:t>最低价法</w:t>
            </w:r>
          </w:p>
          <w:p w14:paraId="1E9D1C11">
            <w:pPr>
              <w:tabs>
                <w:tab w:val="left" w:pos="434"/>
              </w:tabs>
              <w:kinsoku/>
              <w:wordWrap w:val="0"/>
              <w:topLinePunct/>
              <w:autoSpaceDE/>
              <w:autoSpaceDN/>
              <w:spacing w:line="400" w:lineRule="exact"/>
              <w:ind w:left="120" w:leftChars="50"/>
              <w:rPr>
                <w:rFonts w:ascii="宋体" w:hAnsi="宋体" w:eastAsia="宋体" w:cs="宋体"/>
                <w:szCs w:val="24"/>
              </w:rPr>
            </w:pPr>
            <w:r>
              <w:rPr>
                <w:rFonts w:hint="eastAsia"/>
                <w:sz w:val="22"/>
                <w:szCs w:val="22"/>
                <w:shd w:val="pct10" w:color="auto" w:fill="FFFFFF"/>
              </w:rPr>
              <w:t>■</w:t>
            </w:r>
            <w:r>
              <w:rPr>
                <w:rFonts w:hint="eastAsia" w:ascii="宋体" w:hAnsi="宋体" w:eastAsia="宋体" w:cs="宋体"/>
                <w:szCs w:val="24"/>
              </w:rPr>
              <w:t>合理低价法</w:t>
            </w:r>
          </w:p>
          <w:p w14:paraId="1E7FBF06">
            <w:pPr>
              <w:tabs>
                <w:tab w:val="left" w:pos="434"/>
              </w:tabs>
              <w:kinsoku/>
              <w:wordWrap w:val="0"/>
              <w:topLinePunct/>
              <w:autoSpaceDE/>
              <w:autoSpaceDN/>
              <w:spacing w:line="400" w:lineRule="exact"/>
              <w:ind w:left="120" w:leftChars="50"/>
              <w:rPr>
                <w:rFonts w:ascii="宋体" w:hAnsi="宋体" w:eastAsia="宋体" w:cs="宋体"/>
                <w:szCs w:val="24"/>
              </w:rPr>
            </w:pPr>
            <w:r>
              <w:rPr>
                <w:rFonts w:hint="eastAsia"/>
                <w:sz w:val="22"/>
                <w:szCs w:val="22"/>
                <w:shd w:val="pct10" w:color="auto" w:fill="FFFFFF"/>
              </w:rPr>
              <w:t>□</w:t>
            </w:r>
            <w:r>
              <w:rPr>
                <w:rFonts w:hint="eastAsia" w:ascii="宋体" w:hAnsi="宋体" w:eastAsia="宋体" w:cs="宋体"/>
                <w:szCs w:val="24"/>
              </w:rPr>
              <w:t>综合评估法A（技术标通过制）</w:t>
            </w:r>
          </w:p>
          <w:p w14:paraId="7756A526">
            <w:pPr>
              <w:tabs>
                <w:tab w:val="left" w:pos="434"/>
              </w:tabs>
              <w:kinsoku/>
              <w:wordWrap w:val="0"/>
              <w:topLinePunct/>
              <w:autoSpaceDE/>
              <w:autoSpaceDN/>
              <w:spacing w:line="400" w:lineRule="exact"/>
              <w:ind w:left="120" w:leftChars="50"/>
              <w:rPr>
                <w:rFonts w:ascii="宋体" w:hAnsi="宋体" w:eastAsia="宋体" w:cs="宋体"/>
                <w:szCs w:val="24"/>
              </w:rPr>
            </w:pPr>
            <w:r>
              <w:rPr>
                <w:rFonts w:hint="eastAsia"/>
                <w:sz w:val="22"/>
                <w:szCs w:val="22"/>
                <w:shd w:val="pct10" w:color="auto" w:fill="FFFFFF"/>
              </w:rPr>
              <w:t>□</w:t>
            </w:r>
            <w:r>
              <w:rPr>
                <w:rFonts w:hint="eastAsia" w:ascii="宋体" w:hAnsi="宋体" w:eastAsia="宋体" w:cs="宋体"/>
                <w:szCs w:val="24"/>
              </w:rPr>
              <w:t>综合评估法B（技术标打分制）</w:t>
            </w:r>
          </w:p>
        </w:tc>
      </w:tr>
      <w:tr w14:paraId="5A765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4D090D86">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1CE323CA">
            <w:pPr>
              <w:kinsoku/>
              <w:wordWrap w:val="0"/>
              <w:topLinePunct/>
              <w:autoSpaceDE/>
              <w:autoSpaceDN/>
              <w:adjustRightInd/>
              <w:snapToGrid/>
              <w:spacing w:before="120" w:beforeLines="50"/>
              <w:ind w:left="120" w:leftChars="50" w:right="242" w:rightChars="101"/>
              <w:jc w:val="center"/>
              <w:rPr>
                <w:rFonts w:ascii="宋体" w:hAnsi="宋体" w:eastAsia="宋体" w:cs="宋体"/>
                <w:color w:val="auto"/>
                <w:szCs w:val="24"/>
              </w:rPr>
            </w:pPr>
            <w:r>
              <w:rPr>
                <w:rFonts w:hint="eastAsia" w:ascii="宋体" w:hAnsi="宋体" w:eastAsia="宋体" w:cs="宋体"/>
                <w:color w:val="auto"/>
                <w:szCs w:val="24"/>
              </w:rPr>
              <w:t>评审小组</w:t>
            </w:r>
          </w:p>
        </w:tc>
        <w:tc>
          <w:tcPr>
            <w:tcW w:w="6480" w:type="dxa"/>
            <w:tcBorders>
              <w:tl2br w:val="nil"/>
              <w:tr2bl w:val="nil"/>
            </w:tcBorders>
            <w:shd w:val="clear" w:color="auto" w:fill="FFFFFF"/>
          </w:tcPr>
          <w:p w14:paraId="7B636861">
            <w:p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采用综合评估法的项目，由发包人组建评审小组按照评审办法规定的程序和标准推荐成交候选人。评审小组由1名发包人代表和具有评审能力的专业人员共同组成，成员人数不少于5人及以上单数。其中发包人代表是经发包人授权熟悉项目需求和政策法规的工作人员；具备评审能力的专业人员从集团公司评标专家库中以随机抽取方式确定，且不得少于评审成员总数的三分之二；代理机构人员不得参加本机构代理项目的评审。</w:t>
            </w:r>
          </w:p>
        </w:tc>
      </w:tr>
      <w:tr w14:paraId="372D2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42CFD908">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7760752D">
            <w:pPr>
              <w:kinsoku/>
              <w:wordWrap w:val="0"/>
              <w:topLinePunct/>
              <w:autoSpaceDE/>
              <w:autoSpaceDN/>
              <w:adjustRightInd/>
              <w:snapToGrid/>
              <w:spacing w:before="120" w:beforeLines="50"/>
              <w:ind w:left="120" w:leftChars="50"/>
              <w:jc w:val="center"/>
              <w:rPr>
                <w:rFonts w:ascii="宋体" w:hAnsi="宋体" w:eastAsia="宋体" w:cs="宋体"/>
                <w:color w:val="auto"/>
                <w:szCs w:val="24"/>
              </w:rPr>
            </w:pPr>
            <w:r>
              <w:rPr>
                <w:rFonts w:hint="eastAsia" w:ascii="宋体" w:hAnsi="宋体" w:eastAsia="宋体" w:cs="宋体"/>
                <w:color w:val="auto"/>
                <w:szCs w:val="24"/>
              </w:rPr>
              <w:t>响应文件的质询</w:t>
            </w:r>
          </w:p>
        </w:tc>
        <w:tc>
          <w:tcPr>
            <w:tcW w:w="6480" w:type="dxa"/>
            <w:tcBorders>
              <w:tl2br w:val="nil"/>
              <w:tr2bl w:val="nil"/>
            </w:tcBorders>
            <w:shd w:val="clear" w:color="auto" w:fill="FFFFFF"/>
          </w:tcPr>
          <w:p w14:paraId="0C220685">
            <w:pPr>
              <w:kinsoku/>
              <w:topLinePunct/>
              <w:spacing w:line="400" w:lineRule="exact"/>
              <w:ind w:left="120" w:leftChars="50"/>
              <w:rPr>
                <w:rFonts w:ascii="宋体" w:hAnsi="宋体" w:eastAsia="宋体" w:cs="宋体"/>
                <w:color w:val="auto"/>
                <w:spacing w:val="6"/>
                <w:szCs w:val="24"/>
              </w:rPr>
            </w:pPr>
            <w:r>
              <w:rPr>
                <w:rFonts w:hint="eastAsia"/>
                <w:sz w:val="22"/>
                <w:szCs w:val="22"/>
                <w:shd w:val="pct10" w:color="auto" w:fill="FFFFFF"/>
              </w:rPr>
              <w:t>□</w:t>
            </w:r>
            <w:r>
              <w:rPr>
                <w:rFonts w:hint="eastAsia" w:ascii="宋体" w:hAnsi="宋体" w:eastAsia="宋体" w:cs="宋体"/>
                <w:color w:val="auto"/>
                <w:szCs w:val="24"/>
              </w:rPr>
              <w:t>不质询。</w:t>
            </w:r>
          </w:p>
          <w:p w14:paraId="0E677EF1">
            <w:pPr>
              <w:kinsoku/>
              <w:topLinePunct/>
              <w:spacing w:line="400" w:lineRule="exact"/>
              <w:ind w:left="120" w:leftChars="50"/>
              <w:rPr>
                <w:rFonts w:ascii="宋体" w:hAnsi="宋体" w:eastAsia="宋体" w:cs="宋体"/>
                <w:color w:val="auto"/>
                <w:spacing w:val="6"/>
                <w:szCs w:val="24"/>
              </w:rPr>
            </w:pPr>
            <w:r>
              <w:rPr>
                <w:rFonts w:hint="eastAsia"/>
                <w:sz w:val="22"/>
                <w:szCs w:val="22"/>
                <w:shd w:val="pct10" w:color="auto" w:fill="FFFFFF"/>
              </w:rPr>
              <w:t>■</w:t>
            </w:r>
            <w:r>
              <w:rPr>
                <w:rFonts w:hint="eastAsia" w:ascii="宋体" w:hAnsi="宋体" w:eastAsia="宋体" w:cs="宋体"/>
                <w:color w:val="auto"/>
                <w:spacing w:val="6"/>
                <w:szCs w:val="24"/>
              </w:rPr>
              <w:t>发包人或组建的评审小组认为</w:t>
            </w:r>
            <w:r>
              <w:rPr>
                <w:rFonts w:hint="eastAsia" w:ascii="宋体" w:hAnsi="宋体" w:eastAsia="宋体" w:cs="宋体"/>
                <w:color w:val="auto"/>
                <w:spacing w:val="-2"/>
                <w:szCs w:val="24"/>
              </w:rPr>
              <w:t>响应文件需要</w:t>
            </w:r>
            <w:r>
              <w:rPr>
                <w:rFonts w:hint="eastAsia" w:ascii="宋体" w:hAnsi="宋体" w:eastAsia="宋体" w:cs="宋体"/>
                <w:color w:val="auto"/>
                <w:szCs w:val="24"/>
              </w:rPr>
              <w:t>潜在承包人</w:t>
            </w:r>
            <w:r>
              <w:rPr>
                <w:rFonts w:hint="eastAsia" w:ascii="宋体" w:hAnsi="宋体" w:eastAsia="宋体" w:cs="宋体"/>
                <w:color w:val="auto"/>
                <w:spacing w:val="-2"/>
                <w:szCs w:val="24"/>
              </w:rPr>
              <w:t>进行</w:t>
            </w:r>
            <w:r>
              <w:rPr>
                <w:rFonts w:hint="eastAsia" w:ascii="宋体" w:hAnsi="宋体" w:eastAsia="宋体" w:cs="宋体"/>
                <w:color w:val="auto"/>
                <w:spacing w:val="-1"/>
                <w:szCs w:val="24"/>
              </w:rPr>
              <w:t>澄清、说明或者补正的，按以下要求进行质询：</w:t>
            </w:r>
          </w:p>
          <w:p w14:paraId="3D085517">
            <w:pPr>
              <w:kinsoku/>
              <w:topLinePunct/>
              <w:spacing w:line="400" w:lineRule="exact"/>
              <w:ind w:left="120" w:leftChars="50"/>
              <w:rPr>
                <w:rFonts w:ascii="宋体" w:hAnsi="宋体" w:eastAsia="宋体" w:cs="宋体"/>
                <w:color w:val="auto"/>
                <w:szCs w:val="24"/>
              </w:rPr>
            </w:pPr>
            <w:r>
              <w:rPr>
                <w:rFonts w:hint="eastAsia" w:ascii="宋体" w:hAnsi="宋体" w:eastAsia="宋体" w:cs="宋体"/>
                <w:color w:val="auto"/>
                <w:spacing w:val="6"/>
                <w:szCs w:val="24"/>
              </w:rPr>
              <w:t>(1)澄清回复时</w:t>
            </w:r>
            <w:r>
              <w:rPr>
                <w:rFonts w:hint="eastAsia" w:ascii="宋体" w:hAnsi="宋体" w:eastAsia="宋体" w:cs="宋体"/>
                <w:color w:val="auto"/>
                <w:spacing w:val="5"/>
                <w:szCs w:val="24"/>
              </w:rPr>
              <w:t>间</w:t>
            </w:r>
            <w:r>
              <w:rPr>
                <w:rFonts w:hint="eastAsia" w:ascii="宋体" w:hAnsi="宋体" w:eastAsia="宋体" w:cs="宋体"/>
                <w:color w:val="auto"/>
                <w:spacing w:val="3"/>
                <w:szCs w:val="24"/>
              </w:rPr>
              <w:t>不得超过在发出通知后</w:t>
            </w:r>
            <w:r>
              <w:rPr>
                <w:rFonts w:hint="eastAsia" w:ascii="宋体" w:hAnsi="宋体" w:eastAsia="宋体" w:cs="宋体"/>
                <w:color w:val="auto"/>
                <w:spacing w:val="3"/>
                <w:szCs w:val="24"/>
                <w:u w:val="single"/>
              </w:rPr>
              <w:t xml:space="preserve">  </w:t>
            </w:r>
            <w:r>
              <w:rPr>
                <w:rFonts w:hint="eastAsia" w:ascii="宋体" w:hAnsi="宋体" w:eastAsia="宋体" w:cs="宋体"/>
                <w:color w:val="auto"/>
                <w:spacing w:val="3"/>
                <w:szCs w:val="24"/>
                <w:u w:val="single"/>
                <w:lang w:val="en-US" w:eastAsia="zh-CN"/>
              </w:rPr>
              <w:t>30</w:t>
            </w:r>
            <w:r>
              <w:rPr>
                <w:rFonts w:hint="eastAsia" w:ascii="宋体" w:hAnsi="宋体" w:eastAsia="宋体" w:cs="宋体"/>
                <w:color w:val="auto"/>
                <w:spacing w:val="3"/>
                <w:szCs w:val="24"/>
                <w:u w:val="single"/>
              </w:rPr>
              <w:t xml:space="preserve">  </w:t>
            </w:r>
            <w:r>
              <w:rPr>
                <w:rFonts w:hint="eastAsia" w:ascii="宋体" w:hAnsi="宋体" w:eastAsia="宋体" w:cs="宋体"/>
                <w:color w:val="auto"/>
                <w:spacing w:val="3"/>
                <w:szCs w:val="24"/>
              </w:rPr>
              <w:t xml:space="preserve"> 分钟(该时间填报不</w:t>
            </w:r>
            <w:r>
              <w:rPr>
                <w:rFonts w:hint="eastAsia" w:ascii="宋体" w:hAnsi="宋体" w:eastAsia="宋体" w:cs="宋体"/>
                <w:color w:val="auto"/>
                <w:spacing w:val="8"/>
                <w:szCs w:val="24"/>
              </w:rPr>
              <w:t xml:space="preserve">得超过 </w:t>
            </w:r>
            <w:r>
              <w:rPr>
                <w:rFonts w:hint="eastAsia" w:ascii="宋体" w:hAnsi="宋体" w:eastAsia="宋体" w:cs="宋体"/>
                <w:color w:val="auto"/>
                <w:spacing w:val="7"/>
                <w:szCs w:val="24"/>
              </w:rPr>
              <w:t>3</w:t>
            </w:r>
            <w:r>
              <w:rPr>
                <w:rFonts w:hint="eastAsia" w:ascii="宋体" w:hAnsi="宋体" w:eastAsia="宋体" w:cs="宋体"/>
                <w:color w:val="auto"/>
                <w:spacing w:val="4"/>
                <w:szCs w:val="24"/>
              </w:rPr>
              <w:t>0 分钟)，</w:t>
            </w:r>
            <w:r>
              <w:rPr>
                <w:rFonts w:hint="eastAsia" w:ascii="宋体" w:hAnsi="宋体" w:eastAsia="宋体" w:cs="宋体"/>
                <w:color w:val="auto"/>
                <w:szCs w:val="24"/>
              </w:rPr>
              <w:t>潜在承包人</w:t>
            </w:r>
            <w:r>
              <w:rPr>
                <w:rFonts w:hint="eastAsia" w:ascii="宋体" w:hAnsi="宋体" w:eastAsia="宋体" w:cs="宋体"/>
                <w:color w:val="auto"/>
                <w:spacing w:val="4"/>
                <w:szCs w:val="24"/>
              </w:rPr>
              <w:t>逾期或未按要求澄清回复的，将视为</w:t>
            </w:r>
            <w:r>
              <w:rPr>
                <w:rFonts w:hint="eastAsia" w:ascii="宋体" w:hAnsi="宋体" w:eastAsia="宋体" w:cs="宋体"/>
                <w:color w:val="auto"/>
                <w:spacing w:val="1"/>
                <w:szCs w:val="24"/>
              </w:rPr>
              <w:t>不予回复或确认，发包人或评审小组有权否决其响应</w:t>
            </w:r>
            <w:r>
              <w:rPr>
                <w:rFonts w:hint="eastAsia" w:ascii="宋体" w:hAnsi="宋体" w:eastAsia="宋体" w:cs="宋体"/>
                <w:color w:val="auto"/>
                <w:szCs w:val="24"/>
              </w:rPr>
              <w:t>。潜在承包人通讯不畅</w:t>
            </w:r>
            <w:r>
              <w:rPr>
                <w:rFonts w:hint="eastAsia" w:ascii="宋体" w:hAnsi="宋体" w:eastAsia="宋体" w:cs="宋体"/>
                <w:color w:val="auto"/>
                <w:spacing w:val="-2"/>
                <w:szCs w:val="24"/>
              </w:rPr>
              <w:t>通，导致</w:t>
            </w:r>
            <w:r>
              <w:rPr>
                <w:rFonts w:hint="eastAsia" w:ascii="宋体" w:hAnsi="宋体" w:eastAsia="宋体" w:cs="宋体"/>
                <w:color w:val="auto"/>
                <w:spacing w:val="-1"/>
                <w:szCs w:val="24"/>
              </w:rPr>
              <w:t>不能及时联系的，视为</w:t>
            </w:r>
            <w:r>
              <w:rPr>
                <w:rFonts w:hint="eastAsia" w:ascii="宋体" w:hAnsi="宋体" w:eastAsia="宋体" w:cs="宋体"/>
                <w:color w:val="auto"/>
                <w:szCs w:val="24"/>
              </w:rPr>
              <w:t>潜在承包人</w:t>
            </w:r>
            <w:r>
              <w:rPr>
                <w:rFonts w:hint="eastAsia" w:ascii="宋体" w:hAnsi="宋体" w:eastAsia="宋体" w:cs="宋体"/>
                <w:color w:val="auto"/>
                <w:spacing w:val="-1"/>
                <w:szCs w:val="24"/>
              </w:rPr>
              <w:t>不予回复或确认。</w:t>
            </w:r>
            <w:r>
              <w:rPr>
                <w:rFonts w:hint="eastAsia" w:ascii="宋体" w:hAnsi="宋体" w:eastAsia="宋体" w:cs="宋体"/>
                <w:color w:val="auto"/>
                <w:szCs w:val="24"/>
              </w:rPr>
              <w:t xml:space="preserve">    </w:t>
            </w:r>
          </w:p>
          <w:p w14:paraId="5AE9C990">
            <w:pPr>
              <w:kinsoku/>
              <w:topLinePunct/>
              <w:spacing w:line="400" w:lineRule="exact"/>
              <w:ind w:left="120" w:leftChars="50"/>
              <w:rPr>
                <w:rFonts w:ascii="宋体" w:hAnsi="宋体" w:eastAsia="宋体" w:cs="宋体"/>
                <w:color w:val="auto"/>
                <w:spacing w:val="-21"/>
                <w:szCs w:val="24"/>
              </w:rPr>
            </w:pPr>
            <w:r>
              <w:rPr>
                <w:rFonts w:hint="eastAsia" w:ascii="宋体" w:hAnsi="宋体" w:eastAsia="宋体" w:cs="宋体"/>
                <w:color w:val="auto"/>
                <w:spacing w:val="1"/>
                <w:szCs w:val="24"/>
              </w:rPr>
              <w:t>(2)发包人或评审小组对</w:t>
            </w:r>
            <w:r>
              <w:rPr>
                <w:rFonts w:hint="eastAsia" w:ascii="宋体" w:hAnsi="宋体" w:eastAsia="宋体" w:cs="宋体"/>
                <w:color w:val="auto"/>
                <w:szCs w:val="24"/>
              </w:rPr>
              <w:t>潜在承包人</w:t>
            </w:r>
            <w:r>
              <w:rPr>
                <w:rFonts w:hint="eastAsia" w:ascii="宋体" w:hAnsi="宋体" w:eastAsia="宋体" w:cs="宋体"/>
                <w:color w:val="auto"/>
                <w:spacing w:val="1"/>
                <w:szCs w:val="24"/>
              </w:rPr>
              <w:t>提交的澄清、说明</w:t>
            </w:r>
            <w:r>
              <w:rPr>
                <w:rFonts w:hint="eastAsia" w:ascii="宋体" w:hAnsi="宋体" w:eastAsia="宋体" w:cs="宋体"/>
                <w:color w:val="auto"/>
                <w:szCs w:val="24"/>
              </w:rPr>
              <w:t>或补正有疑问的，可以</w:t>
            </w:r>
            <w:r>
              <w:rPr>
                <w:rFonts w:hint="eastAsia" w:ascii="宋体" w:hAnsi="宋体" w:eastAsia="宋体" w:cs="宋体"/>
                <w:color w:val="auto"/>
                <w:spacing w:val="1"/>
                <w:szCs w:val="24"/>
              </w:rPr>
              <w:t>要求进一步澄清、说明或补正，直至</w:t>
            </w:r>
            <w:r>
              <w:rPr>
                <w:rFonts w:hint="eastAsia" w:ascii="宋体" w:hAnsi="宋体" w:eastAsia="宋体" w:cs="宋体"/>
                <w:color w:val="auto"/>
                <w:szCs w:val="24"/>
              </w:rPr>
              <w:t>满足发包人或</w:t>
            </w:r>
            <w:r>
              <w:rPr>
                <w:rFonts w:hint="eastAsia" w:ascii="宋体" w:hAnsi="宋体" w:eastAsia="宋体" w:cs="宋体"/>
                <w:color w:val="auto"/>
                <w:spacing w:val="1"/>
                <w:szCs w:val="24"/>
              </w:rPr>
              <w:t>评审小组</w:t>
            </w:r>
            <w:r>
              <w:rPr>
                <w:rFonts w:hint="eastAsia" w:ascii="宋体" w:hAnsi="宋体" w:eastAsia="宋体" w:cs="宋体"/>
                <w:color w:val="auto"/>
                <w:szCs w:val="24"/>
              </w:rPr>
              <w:t>的要</w:t>
            </w:r>
            <w:r>
              <w:rPr>
                <w:rFonts w:hint="eastAsia" w:ascii="宋体" w:hAnsi="宋体" w:eastAsia="宋体" w:cs="宋体"/>
                <w:color w:val="auto"/>
                <w:spacing w:val="-21"/>
                <w:szCs w:val="24"/>
              </w:rPr>
              <w:t>求。</w:t>
            </w:r>
          </w:p>
          <w:p w14:paraId="54CCACEC">
            <w:pPr>
              <w:kinsoku/>
              <w:topLinePunct/>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color w:val="auto"/>
                <w:spacing w:val="-2"/>
                <w:szCs w:val="24"/>
              </w:rPr>
              <w:t>3)</w:t>
            </w:r>
            <w:r>
              <w:rPr>
                <w:rFonts w:hint="eastAsia" w:ascii="宋体" w:hAnsi="宋体" w:eastAsia="宋体" w:cs="宋体"/>
                <w:color w:val="auto"/>
                <w:szCs w:val="24"/>
              </w:rPr>
              <w:t>潜在承包人</w:t>
            </w:r>
            <w:r>
              <w:rPr>
                <w:rFonts w:hint="eastAsia" w:ascii="宋体" w:hAnsi="宋体" w:eastAsia="宋体" w:cs="宋体"/>
                <w:color w:val="auto"/>
                <w:spacing w:val="-2"/>
                <w:szCs w:val="24"/>
              </w:rPr>
              <w:t>拒不按照要求对响应文件进行</w:t>
            </w:r>
            <w:r>
              <w:rPr>
                <w:rFonts w:hint="eastAsia" w:ascii="宋体" w:hAnsi="宋体" w:eastAsia="宋体" w:cs="宋体"/>
                <w:color w:val="auto"/>
                <w:spacing w:val="-1"/>
                <w:szCs w:val="24"/>
              </w:rPr>
              <w:t>澄清、说明或者补正的，发包人或</w:t>
            </w:r>
            <w:r>
              <w:rPr>
                <w:rFonts w:hint="eastAsia" w:ascii="宋体" w:hAnsi="宋体" w:eastAsia="宋体" w:cs="宋体"/>
                <w:color w:val="auto"/>
                <w:spacing w:val="1"/>
                <w:szCs w:val="24"/>
              </w:rPr>
              <w:t>评审小组</w:t>
            </w:r>
            <w:r>
              <w:rPr>
                <w:rFonts w:hint="eastAsia" w:ascii="宋体" w:hAnsi="宋体" w:eastAsia="宋体" w:cs="宋体"/>
                <w:color w:val="auto"/>
                <w:spacing w:val="-2"/>
                <w:szCs w:val="24"/>
              </w:rPr>
              <w:t>可以否决其响应。</w:t>
            </w:r>
          </w:p>
        </w:tc>
      </w:tr>
      <w:tr w14:paraId="2576F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1251" w:hRule="atLeast"/>
        </w:trPr>
        <w:tc>
          <w:tcPr>
            <w:tcW w:w="810" w:type="dxa"/>
            <w:tcBorders>
              <w:tl2br w:val="nil"/>
              <w:tr2bl w:val="nil"/>
            </w:tcBorders>
            <w:shd w:val="clear" w:color="auto" w:fill="FFFFFF"/>
            <w:vAlign w:val="center"/>
          </w:tcPr>
          <w:p w14:paraId="148DD9C6">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6EC2C328">
            <w:pPr>
              <w:kinsoku/>
              <w:topLinePunct/>
              <w:spacing w:before="78" w:line="258" w:lineRule="auto"/>
              <w:ind w:right="107"/>
              <w:jc w:val="center"/>
              <w:rPr>
                <w:rFonts w:ascii="宋体" w:hAnsi="宋体" w:eastAsia="宋体" w:cs="宋体"/>
                <w:color w:val="auto"/>
                <w:spacing w:val="-2"/>
                <w:szCs w:val="24"/>
              </w:rPr>
            </w:pPr>
            <w:r>
              <w:rPr>
                <w:rFonts w:hint="eastAsia" w:ascii="宋体" w:hAnsi="宋体" w:eastAsia="宋体" w:cs="宋体"/>
                <w:color w:val="auto"/>
                <w:spacing w:val="-3"/>
                <w:szCs w:val="24"/>
              </w:rPr>
              <w:t>否决响应文件的</w:t>
            </w:r>
            <w:r>
              <w:rPr>
                <w:rFonts w:hint="eastAsia" w:ascii="宋体" w:hAnsi="宋体" w:eastAsia="宋体" w:cs="宋体"/>
                <w:color w:val="auto"/>
                <w:spacing w:val="-2"/>
                <w:szCs w:val="24"/>
              </w:rPr>
              <w:t>情形</w:t>
            </w:r>
          </w:p>
        </w:tc>
        <w:tc>
          <w:tcPr>
            <w:tcW w:w="6480" w:type="dxa"/>
            <w:tcBorders>
              <w:tl2br w:val="nil"/>
              <w:tr2bl w:val="nil"/>
            </w:tcBorders>
            <w:shd w:val="clear" w:color="auto" w:fill="FFFFFF"/>
          </w:tcPr>
          <w:p w14:paraId="22B891A7">
            <w:pPr>
              <w:kinsoku/>
              <w:topLinePunct/>
              <w:spacing w:line="400" w:lineRule="exact"/>
              <w:ind w:left="120" w:leftChars="50"/>
              <w:rPr>
                <w:rFonts w:ascii="宋体" w:hAnsi="宋体" w:eastAsia="宋体" w:cs="宋体"/>
                <w:b/>
                <w:bCs/>
                <w:color w:val="auto"/>
                <w:spacing w:val="-2"/>
                <w:szCs w:val="24"/>
              </w:rPr>
            </w:pPr>
            <w:r>
              <w:rPr>
                <w:rFonts w:hint="eastAsia" w:ascii="宋体" w:hAnsi="宋体" w:eastAsia="宋体" w:cs="宋体"/>
                <w:color w:val="auto"/>
                <w:spacing w:val="-2"/>
                <w:szCs w:val="24"/>
              </w:rPr>
              <w:t>详见第三章评审办法。</w:t>
            </w:r>
          </w:p>
          <w:p w14:paraId="175A3D80">
            <w:pPr>
              <w:kinsoku/>
              <w:topLinePunct/>
              <w:spacing w:line="400" w:lineRule="exact"/>
              <w:ind w:left="120" w:leftChars="50"/>
              <w:rPr>
                <w:rFonts w:ascii="宋体" w:hAnsi="宋体" w:eastAsia="宋体" w:cs="宋体"/>
                <w:color w:val="auto"/>
                <w:szCs w:val="24"/>
              </w:rPr>
            </w:pPr>
            <w:r>
              <w:rPr>
                <w:rFonts w:hint="eastAsia" w:ascii="宋体" w:hAnsi="宋体" w:eastAsia="宋体" w:cs="宋体"/>
                <w:b/>
                <w:bCs/>
                <w:color w:val="auto"/>
                <w:spacing w:val="-2"/>
                <w:szCs w:val="24"/>
              </w:rPr>
              <w:t>注：拟作出否决响应文件决定的，应先向潜在承包人进行质询。按照评审办法被否决的，应在成交候选人公示时予以公布。</w:t>
            </w:r>
          </w:p>
        </w:tc>
      </w:tr>
      <w:tr w14:paraId="37C00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21AAEF8D">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0F92C98D">
            <w:pPr>
              <w:tabs>
                <w:tab w:val="left" w:pos="434"/>
              </w:tabs>
              <w:kinsoku/>
              <w:wordWrap w:val="0"/>
              <w:topLinePunct/>
              <w:autoSpaceDE/>
              <w:autoSpaceDN/>
              <w:adjustRightInd/>
              <w:snapToGrid/>
              <w:spacing w:before="120" w:beforeLines="50"/>
              <w:ind w:left="120" w:leftChars="50"/>
              <w:jc w:val="center"/>
              <w:rPr>
                <w:rFonts w:ascii="宋体" w:hAnsi="宋体" w:eastAsia="宋体" w:cs="宋体"/>
                <w:color w:val="auto"/>
                <w:szCs w:val="24"/>
              </w:rPr>
            </w:pPr>
            <w:r>
              <w:rPr>
                <w:rFonts w:hint="eastAsia" w:ascii="宋体" w:hAnsi="宋体" w:eastAsia="宋体" w:cs="宋体"/>
                <w:color w:val="auto"/>
                <w:szCs w:val="24"/>
              </w:rPr>
              <w:t>推荐成交候选人</w:t>
            </w:r>
          </w:p>
        </w:tc>
        <w:tc>
          <w:tcPr>
            <w:tcW w:w="6480" w:type="dxa"/>
            <w:tcBorders>
              <w:tl2br w:val="nil"/>
              <w:tr2bl w:val="nil"/>
            </w:tcBorders>
            <w:shd w:val="clear" w:color="auto" w:fill="FFFFFF"/>
          </w:tcPr>
          <w:p w14:paraId="21FA1804">
            <w:p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根据评审结果排名顺序推荐</w:t>
            </w:r>
            <w:r>
              <w:rPr>
                <w:rFonts w:hint="eastAsia" w:ascii="宋体" w:hAnsi="宋体" w:eastAsia="宋体" w:cs="宋体"/>
                <w:color w:val="auto"/>
                <w:szCs w:val="24"/>
                <w:u w:val="single"/>
              </w:rPr>
              <w:t xml:space="preserve"> </w:t>
            </w:r>
            <w:r>
              <w:rPr>
                <w:rFonts w:hint="eastAsia" w:ascii="宋体" w:hAnsi="宋体" w:eastAsia="宋体"/>
                <w:u w:val="single"/>
                <w:lang w:eastAsia="zh-CN"/>
              </w:rPr>
              <w:t>1</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个成交候选人。(不超过3个) </w:t>
            </w:r>
          </w:p>
        </w:tc>
      </w:tr>
      <w:tr w14:paraId="11DB0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4BF05488">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189D0BE2">
            <w:pPr>
              <w:pStyle w:val="37"/>
              <w:spacing w:line="240" w:lineRule="auto"/>
              <w:ind w:firstLine="0" w:firstLineChars="0"/>
              <w:jc w:val="center"/>
              <w:rPr>
                <w:rFonts w:eastAsia="宋体"/>
                <w:color w:val="auto"/>
                <w:szCs w:val="24"/>
              </w:rPr>
            </w:pPr>
            <w:r>
              <w:rPr>
                <w:rFonts w:hint="eastAsia" w:eastAsia="宋体"/>
                <w:color w:val="auto"/>
                <w:szCs w:val="24"/>
              </w:rPr>
              <w:t>成交结果确认</w:t>
            </w:r>
          </w:p>
        </w:tc>
        <w:tc>
          <w:tcPr>
            <w:tcW w:w="6480" w:type="dxa"/>
            <w:tcBorders>
              <w:tl2br w:val="nil"/>
              <w:tr2bl w:val="nil"/>
            </w:tcBorders>
            <w:shd w:val="clear" w:color="auto" w:fill="FFFFFF"/>
            <w:vAlign w:val="center"/>
          </w:tcPr>
          <w:p w14:paraId="674AE01F">
            <w:pPr>
              <w:kinsoku/>
              <w:topLinePunct/>
              <w:spacing w:line="400" w:lineRule="exact"/>
              <w:ind w:left="120" w:leftChars="50"/>
              <w:rPr>
                <w:rFonts w:ascii="宋体" w:hAnsi="宋体" w:eastAsia="宋体" w:cs="宋体"/>
                <w:color w:val="auto"/>
                <w:spacing w:val="-2"/>
                <w:szCs w:val="24"/>
              </w:rPr>
            </w:pPr>
            <w:r>
              <w:rPr>
                <w:rFonts w:hint="eastAsia" w:ascii="宋体" w:hAnsi="宋体" w:eastAsia="宋体" w:cs="宋体"/>
                <w:color w:val="auto"/>
                <w:spacing w:val="-2"/>
                <w:szCs w:val="24"/>
              </w:rPr>
              <w:t>发包人应当按照成交候选人名单排序，确定排名第一的成交候选人为拟成交人。</w:t>
            </w:r>
          </w:p>
          <w:p w14:paraId="44F11B8B">
            <w:pPr>
              <w:kinsoku/>
              <w:topLinePunct/>
              <w:spacing w:line="400" w:lineRule="exact"/>
              <w:ind w:left="120" w:leftChars="50"/>
              <w:rPr>
                <w:rFonts w:ascii="宋体" w:hAnsi="宋体" w:eastAsia="宋体" w:cs="宋体"/>
                <w:color w:val="auto"/>
                <w:spacing w:val="-2"/>
                <w:szCs w:val="24"/>
              </w:rPr>
            </w:pPr>
            <w:r>
              <w:rPr>
                <w:rFonts w:hint="eastAsia" w:ascii="宋体" w:hAnsi="宋体" w:eastAsia="宋体" w:cs="宋体"/>
                <w:color w:val="auto"/>
                <w:spacing w:val="-2"/>
                <w:szCs w:val="24"/>
              </w:rPr>
              <w:t>发包人发出成交确认书前，应组织对拟成交人和其拟派项目负责人进行查验，以下凡一项核验不符合交易文件规定的，取消其成交资格，发包人将按照成交候选人名单排序依次确定其他成交候选人为成交人或重新组织交易：</w:t>
            </w:r>
          </w:p>
          <w:p w14:paraId="46EFC83B">
            <w:pPr>
              <w:kinsoku/>
              <w:topLinePunct/>
              <w:spacing w:line="400" w:lineRule="exact"/>
              <w:ind w:left="120" w:leftChars="50"/>
              <w:rPr>
                <w:rFonts w:ascii="宋体" w:hAnsi="宋体" w:eastAsia="宋体" w:cs="宋体"/>
                <w:color w:val="auto"/>
                <w:spacing w:val="-2"/>
                <w:szCs w:val="24"/>
              </w:rPr>
            </w:pPr>
            <w:r>
              <w:rPr>
                <w:rFonts w:hint="eastAsia" w:ascii="宋体" w:hAnsi="宋体" w:eastAsia="宋体" w:cs="宋体"/>
                <w:color w:val="auto"/>
                <w:spacing w:val="-2"/>
                <w:szCs w:val="24"/>
              </w:rPr>
              <w:t>(1)核验有效的《安全生产许可证》和企业主要负责人(法定代表人、企业经理、企业分管安全生产的副经理、企业技术负责人)有效的安全生产考核合格证书；“浙江省建筑市场监管公共服务系统”上最新资质动态核查结果处于“合格”状态；</w:t>
            </w:r>
          </w:p>
          <w:p w14:paraId="2BEEFA7A">
            <w:pPr>
              <w:kinsoku/>
              <w:topLinePunct/>
              <w:spacing w:line="400" w:lineRule="exact"/>
              <w:ind w:left="120" w:leftChars="50"/>
              <w:rPr>
                <w:rFonts w:ascii="宋体" w:hAnsi="宋体" w:eastAsia="宋体" w:cs="宋体"/>
                <w:color w:val="auto"/>
                <w:spacing w:val="-2"/>
                <w:szCs w:val="24"/>
              </w:rPr>
            </w:pPr>
            <w:r>
              <w:rPr>
                <w:rFonts w:hint="eastAsia" w:ascii="宋体" w:hAnsi="宋体" w:eastAsia="宋体" w:cs="宋体"/>
                <w:color w:val="auto"/>
                <w:spacing w:val="-2"/>
                <w:szCs w:val="24"/>
              </w:rPr>
              <w:t>(2)查询拟成交人及拟派项目负责人的信用信息：</w:t>
            </w:r>
          </w:p>
          <w:p w14:paraId="4CBDD0A1">
            <w:pPr>
              <w:kinsoku/>
              <w:topLinePunct/>
              <w:spacing w:line="400" w:lineRule="exact"/>
              <w:ind w:left="120" w:leftChars="50"/>
              <w:rPr>
                <w:rFonts w:ascii="宋体" w:hAnsi="宋体" w:eastAsia="宋体" w:cs="宋体"/>
                <w:color w:val="auto"/>
                <w:spacing w:val="-2"/>
                <w:szCs w:val="24"/>
              </w:rPr>
            </w:pPr>
            <w:r>
              <w:rPr>
                <w:rFonts w:hint="eastAsia" w:ascii="宋体" w:hAnsi="宋体" w:eastAsia="宋体" w:cs="宋体"/>
                <w:color w:val="auto"/>
                <w:spacing w:val="-2"/>
                <w:szCs w:val="24"/>
              </w:rPr>
              <w:t>①未被列入建筑市场严重失信名单(以全国建筑市场监管公共服务平台黑名单记录、失信联合惩戒记录和浙江省建筑市场监管公共服务系统严重失信名单的信息为准)；</w:t>
            </w:r>
          </w:p>
          <w:p w14:paraId="592E14FD">
            <w:pPr>
              <w:kinsoku/>
              <w:topLinePunct/>
              <w:spacing w:line="400" w:lineRule="exact"/>
              <w:ind w:left="120" w:leftChars="50"/>
              <w:rPr>
                <w:rFonts w:ascii="宋体" w:hAnsi="宋体" w:eastAsia="宋体" w:cs="宋体"/>
                <w:color w:val="auto"/>
                <w:spacing w:val="-2"/>
                <w:szCs w:val="24"/>
              </w:rPr>
            </w:pPr>
            <w:r>
              <w:rPr>
                <w:rFonts w:hint="eastAsia" w:ascii="宋体" w:hAnsi="宋体" w:eastAsia="宋体" w:cs="宋体"/>
                <w:color w:val="auto"/>
                <w:spacing w:val="-2"/>
                <w:szCs w:val="24"/>
              </w:rPr>
              <w:t>②响应文件递交截止日之前三年(含)内无行贿犯罪记录(以中国裁判文书网为准)；</w:t>
            </w:r>
          </w:p>
          <w:p w14:paraId="30CBFBAE">
            <w:pPr>
              <w:kinsoku/>
              <w:topLinePunct/>
              <w:spacing w:line="400" w:lineRule="exact"/>
              <w:ind w:left="120" w:leftChars="50"/>
              <w:rPr>
                <w:rFonts w:ascii="宋体" w:hAnsi="宋体" w:eastAsia="宋体" w:cs="宋体"/>
                <w:color w:val="auto"/>
                <w:spacing w:val="-2"/>
                <w:szCs w:val="24"/>
              </w:rPr>
            </w:pPr>
            <w:r>
              <w:rPr>
                <w:rFonts w:hint="eastAsia" w:ascii="宋体" w:hAnsi="宋体" w:eastAsia="宋体" w:cs="宋体"/>
                <w:color w:val="auto"/>
                <w:spacing w:val="-2"/>
                <w:szCs w:val="24"/>
              </w:rPr>
              <w:t>③未被列入失信被执行人名单、重大税收违法案件当事人名单(以“信用中国”网站查询为准)，未被列入严重失信黑名单（以“信用杭州”网站查询为准）；</w:t>
            </w:r>
          </w:p>
          <w:p w14:paraId="77A9657A">
            <w:pPr>
              <w:kinsoku/>
              <w:topLinePunct/>
              <w:spacing w:line="400" w:lineRule="exact"/>
              <w:ind w:left="120" w:leftChars="50"/>
              <w:rPr>
                <w:rFonts w:ascii="宋体" w:hAnsi="宋体" w:eastAsia="宋体" w:cs="宋体"/>
                <w:color w:val="auto"/>
                <w:spacing w:val="-2"/>
                <w:szCs w:val="24"/>
              </w:rPr>
            </w:pPr>
            <w:r>
              <w:rPr>
                <w:rFonts w:hint="eastAsia"/>
                <w:sz w:val="22"/>
                <w:szCs w:val="22"/>
                <w:shd w:val="pct10" w:color="auto" w:fill="FFFFFF"/>
              </w:rPr>
              <w:t>■</w:t>
            </w:r>
            <w:r>
              <w:rPr>
                <w:rFonts w:hint="eastAsia" w:ascii="宋体" w:hAnsi="宋体" w:eastAsia="宋体" w:cs="宋体"/>
                <w:color w:val="auto"/>
                <w:spacing w:val="-2"/>
                <w:szCs w:val="24"/>
              </w:rPr>
              <w:t>④省外企业按规定办理“省外建设工程企业进浙备案”手续。</w:t>
            </w:r>
          </w:p>
          <w:p w14:paraId="1B080883">
            <w:pPr>
              <w:kinsoku/>
              <w:topLinePunct/>
              <w:spacing w:line="400" w:lineRule="exact"/>
              <w:ind w:left="120" w:leftChars="50"/>
              <w:rPr>
                <w:rFonts w:ascii="宋体" w:hAnsi="宋体" w:eastAsia="宋体" w:cs="宋体"/>
                <w:color w:val="auto"/>
                <w:szCs w:val="24"/>
              </w:rPr>
            </w:pPr>
            <w:r>
              <w:rPr>
                <w:rFonts w:hint="eastAsia" w:ascii="宋体" w:hAnsi="宋体" w:eastAsia="宋体" w:cs="宋体"/>
                <w:color w:val="auto"/>
                <w:spacing w:val="-2"/>
                <w:szCs w:val="24"/>
              </w:rPr>
              <w:t>(3)拟派驻现场关键岗位人员社保、合同符合要求。</w:t>
            </w:r>
          </w:p>
        </w:tc>
      </w:tr>
      <w:tr w14:paraId="19F1B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603C81D4">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7F2E9D2D">
            <w:pPr>
              <w:pStyle w:val="37"/>
              <w:spacing w:line="240" w:lineRule="auto"/>
              <w:ind w:firstLine="0" w:firstLineChars="0"/>
              <w:jc w:val="center"/>
              <w:rPr>
                <w:rFonts w:eastAsia="宋体"/>
                <w:color w:val="auto"/>
                <w:szCs w:val="24"/>
              </w:rPr>
            </w:pPr>
            <w:r>
              <w:rPr>
                <w:rFonts w:hint="eastAsia" w:eastAsia="宋体"/>
                <w:color w:val="auto"/>
                <w:szCs w:val="24"/>
              </w:rPr>
              <w:t>拟派项目关键岗位人员社保的说明</w:t>
            </w:r>
          </w:p>
        </w:tc>
        <w:tc>
          <w:tcPr>
            <w:tcW w:w="6480" w:type="dxa"/>
            <w:tcBorders>
              <w:tl2br w:val="nil"/>
              <w:tr2bl w:val="nil"/>
            </w:tcBorders>
            <w:shd w:val="clear" w:color="auto" w:fill="FFFFFF"/>
            <w:vAlign w:val="center"/>
          </w:tcPr>
          <w:p w14:paraId="588EDEAD">
            <w:pPr>
              <w:pStyle w:val="35"/>
              <w:kinsoku/>
              <w:wordWrap w:val="0"/>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　潜在承包人拟派项目关键岗位人员的社保如未能按要求提交或者提交的社会保险缴纳单位与潜在承包人不一致的，符合以下情形时，应将证明资料编入响应文件，由发包人或评审小组进行认定，原则上可视作社会保险满足交易文件要求：(响应文件递交时未提供以下情形有效证明材料的，开标后补充的证明材料均不予认可)：</w:t>
            </w:r>
          </w:p>
          <w:p w14:paraId="67BCE925">
            <w:pPr>
              <w:pStyle w:val="35"/>
              <w:kinsoku/>
              <w:wordWrap w:val="0"/>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(1)达到法定退休年龄正式退休和依法提前退休的；</w:t>
            </w:r>
          </w:p>
          <w:p w14:paraId="30E5A53C">
            <w:pPr>
              <w:pStyle w:val="35"/>
              <w:kinsoku/>
              <w:wordWrap w:val="0"/>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(2)因事业单位改制等原因保留事业单位身份，实际工作单位为所在事业单位下属企业，社会保险由该事业单位缴纳的；</w:t>
            </w:r>
          </w:p>
          <w:p w14:paraId="01C6D73B">
            <w:pPr>
              <w:pStyle w:val="35"/>
              <w:kinsoku/>
              <w:wordWrap w:val="0"/>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(3)属于大专院校所属勘察设计、工程监理、工程造价单位聘请的本校在职教师或科研人员，社会保险由所在院校缴纳的；</w:t>
            </w:r>
          </w:p>
          <w:p w14:paraId="393CFE88">
            <w:pPr>
              <w:pStyle w:val="35"/>
              <w:kinsoku/>
              <w:wordWrap w:val="0"/>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(4)属于军队自主择业人员的；</w:t>
            </w:r>
          </w:p>
          <w:p w14:paraId="7B05491C">
            <w:pPr>
              <w:pStyle w:val="35"/>
              <w:kinsoku/>
              <w:wordWrap w:val="0"/>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(5)因企业改制、征地拆迁等买断社会保险的；</w:t>
            </w:r>
          </w:p>
          <w:p w14:paraId="714D7A99">
            <w:pPr>
              <w:pStyle w:val="37"/>
              <w:spacing w:line="400" w:lineRule="exact"/>
              <w:ind w:left="120" w:leftChars="50" w:firstLine="0" w:firstLineChars="0"/>
              <w:rPr>
                <w:rFonts w:eastAsia="宋体"/>
                <w:color w:val="auto"/>
                <w:szCs w:val="24"/>
              </w:rPr>
            </w:pPr>
            <w:r>
              <w:rPr>
                <w:rFonts w:hint="eastAsia" w:eastAsia="宋体"/>
                <w:color w:val="auto"/>
                <w:szCs w:val="24"/>
              </w:rPr>
              <w:t>(6)有法律法规、国家政策依据的其他情形。</w:t>
            </w:r>
          </w:p>
        </w:tc>
      </w:tr>
      <w:tr w14:paraId="20485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90" w:hRule="atLeast"/>
        </w:trPr>
        <w:tc>
          <w:tcPr>
            <w:tcW w:w="810" w:type="dxa"/>
            <w:tcBorders>
              <w:tl2br w:val="nil"/>
              <w:tr2bl w:val="nil"/>
            </w:tcBorders>
            <w:shd w:val="clear" w:color="auto" w:fill="FFFFFF"/>
            <w:vAlign w:val="center"/>
          </w:tcPr>
          <w:p w14:paraId="525A2203">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57FF5856">
            <w:pPr>
              <w:kinsoku/>
              <w:wordWrap w:val="0"/>
              <w:topLinePunct/>
              <w:autoSpaceDE/>
              <w:autoSpaceDN/>
              <w:adjustRightInd/>
              <w:snapToGrid/>
              <w:spacing w:before="120" w:beforeLines="50"/>
              <w:ind w:left="120" w:leftChars="50"/>
              <w:jc w:val="center"/>
              <w:rPr>
                <w:rFonts w:ascii="宋体" w:hAnsi="宋体" w:eastAsia="宋体" w:cs="宋体"/>
                <w:color w:val="auto"/>
                <w:szCs w:val="24"/>
              </w:rPr>
            </w:pPr>
            <w:r>
              <w:rPr>
                <w:rFonts w:hint="eastAsia" w:ascii="宋体" w:hAnsi="宋体" w:eastAsia="宋体" w:cs="宋体"/>
                <w:color w:val="auto"/>
                <w:szCs w:val="24"/>
              </w:rPr>
              <w:t>信用信息查询渠道</w:t>
            </w:r>
          </w:p>
        </w:tc>
        <w:tc>
          <w:tcPr>
            <w:tcW w:w="6480" w:type="dxa"/>
            <w:tcBorders>
              <w:tl2br w:val="nil"/>
              <w:tr2bl w:val="nil"/>
            </w:tcBorders>
            <w:shd w:val="clear" w:color="auto" w:fill="FFFFFF"/>
          </w:tcPr>
          <w:p w14:paraId="41451135">
            <w:p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“信用中国”网站(www.creditchina.gov.cn)</w:t>
            </w:r>
          </w:p>
          <w:p w14:paraId="4CE799B0">
            <w:p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“信用杭州”网站失信黑名单查询(http://credit.hangzhou.gov.cn/col/col1229636093/index.html)</w:t>
            </w:r>
          </w:p>
          <w:p w14:paraId="00CA5BD1">
            <w:p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中国裁判文书网（https://wenshu.court.gov.cn/）</w:t>
            </w:r>
          </w:p>
          <w:p w14:paraId="7A00813A">
            <w:p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全国建筑市场监管公共服务平台（https://jzsc.mohurd.gov.cn/）</w:t>
            </w:r>
          </w:p>
          <w:p w14:paraId="2EEFA653">
            <w:p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浙江省建筑市场监管公共服务系统(https://jzsc.jst.zj.gov.cn/PublicWeb/index.html#/)</w:t>
            </w:r>
          </w:p>
          <w:p w14:paraId="09148F4A">
            <w:p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杭州建设信用监管平台(https://hzjsxy.cxjw.hangzhou.gov.cn:88/)</w:t>
            </w:r>
          </w:p>
          <w:p w14:paraId="57D0721C">
            <w:p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注：潜在承包人应在递交响应文件前自行做好有关平台信息的维护工作(包括但不仅限于：企业资质、项目状况、信用评价结果等)，对信息的真实性、准确性、完整性负责。</w:t>
            </w:r>
          </w:p>
        </w:tc>
      </w:tr>
      <w:tr w14:paraId="7A865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373FB648">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5B8CDD70">
            <w:pPr>
              <w:kinsoku/>
              <w:wordWrap w:val="0"/>
              <w:topLinePunct/>
              <w:autoSpaceDE/>
              <w:autoSpaceDN/>
              <w:adjustRightInd/>
              <w:snapToGrid/>
              <w:spacing w:before="120" w:beforeLines="50"/>
              <w:ind w:left="120" w:leftChars="50"/>
              <w:jc w:val="center"/>
              <w:rPr>
                <w:rFonts w:ascii="宋体" w:hAnsi="宋体" w:eastAsia="宋体" w:cs="宋体"/>
                <w:color w:val="auto"/>
                <w:szCs w:val="24"/>
              </w:rPr>
            </w:pPr>
            <w:r>
              <w:rPr>
                <w:rFonts w:hint="eastAsia" w:ascii="宋体" w:hAnsi="宋体" w:eastAsia="宋体" w:cs="宋体"/>
                <w:color w:val="auto"/>
                <w:szCs w:val="24"/>
              </w:rPr>
              <w:t>履约担保</w:t>
            </w:r>
          </w:p>
        </w:tc>
        <w:tc>
          <w:tcPr>
            <w:tcW w:w="6480" w:type="dxa"/>
            <w:tcBorders>
              <w:tl2br w:val="nil"/>
              <w:tr2bl w:val="nil"/>
            </w:tcBorders>
            <w:shd w:val="clear" w:color="auto" w:fill="FFFFFF"/>
          </w:tcPr>
          <w:p w14:paraId="5131816D">
            <w:p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履约担保的金额：合同总价的</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lang w:val="en-US" w:eastAsia="zh-CN"/>
              </w:rPr>
              <w:t>2</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%(不得超过2%)。</w:t>
            </w:r>
          </w:p>
          <w:p w14:paraId="4B0452E4">
            <w:p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履约担保的形式：银行保函/保证保险/担保公司担保/转账(从基本账户转出)。</w:t>
            </w:r>
          </w:p>
          <w:p w14:paraId="0B207499">
            <w:p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成交价低于风险控制价的，成交人还须向发包人提供风险控制价和成交价的差额担保，作为履约担保的一部分。</w:t>
            </w:r>
          </w:p>
        </w:tc>
      </w:tr>
      <w:tr w14:paraId="53D27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10" w:type="dxa"/>
            <w:tcBorders>
              <w:tl2br w:val="nil"/>
              <w:tr2bl w:val="nil"/>
            </w:tcBorders>
            <w:shd w:val="clear" w:color="auto" w:fill="FFFFFF"/>
            <w:vAlign w:val="center"/>
          </w:tcPr>
          <w:p w14:paraId="5AFD781D">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26F58E84">
            <w:pPr>
              <w:kinsoku/>
              <w:wordWrap w:val="0"/>
              <w:topLinePunct/>
              <w:autoSpaceDE/>
              <w:autoSpaceDN/>
              <w:adjustRightInd/>
              <w:snapToGrid/>
              <w:spacing w:before="120" w:beforeLines="50"/>
              <w:ind w:left="120" w:leftChars="50"/>
              <w:jc w:val="center"/>
              <w:rPr>
                <w:rFonts w:ascii="宋体" w:hAnsi="宋体" w:eastAsia="宋体" w:cs="宋体"/>
                <w:color w:val="auto"/>
                <w:szCs w:val="24"/>
              </w:rPr>
            </w:pPr>
            <w:r>
              <w:rPr>
                <w:rFonts w:hint="eastAsia" w:ascii="宋体" w:hAnsi="宋体" w:eastAsia="宋体" w:cs="宋体"/>
                <w:color w:val="auto"/>
                <w:szCs w:val="24"/>
              </w:rPr>
              <w:t>重新组织交易情形</w:t>
            </w:r>
          </w:p>
        </w:tc>
        <w:tc>
          <w:tcPr>
            <w:tcW w:w="6480" w:type="dxa"/>
            <w:tcBorders>
              <w:tl2br w:val="nil"/>
              <w:tr2bl w:val="nil"/>
            </w:tcBorders>
            <w:shd w:val="clear" w:color="auto" w:fill="FFFFFF"/>
          </w:tcPr>
          <w:p w14:paraId="0FCDEAB5">
            <w:p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(1)开标后递交的响应文件数量不足3家，或经评审有效响应文件缺少竞争力的；或经评审后否决所有响应文件的；</w:t>
            </w:r>
          </w:p>
          <w:p w14:paraId="6C5DA7A3">
            <w:p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(2)发包过程中，因项目发生变更，现有交易文件对潜在承包人资格条件设置与项目工程规模不符的；</w:t>
            </w:r>
          </w:p>
          <w:p w14:paraId="4654FFC5">
            <w:p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(3)排名第一的成交候选人放弃成交、成交人因不可抗力不履行合同、不按交易文件要求提交履约担保，或者被查实在影响成交结果的违法行为等情形不符合成交条件的，发包人可以按成交候选人名单排序依次确定其他成交候选人为成交人，也可以重新组织交易；</w:t>
            </w:r>
          </w:p>
          <w:p w14:paraId="0E9DA437">
            <w:p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(4)成交候选人被查实存在拟派驻现场关键岗位人员社保、合同不符合要求的，发包人可以按照评审排序名单依次确定其他潜在承包人为成交候选人，也可以重新组织交易。</w:t>
            </w:r>
          </w:p>
          <w:p w14:paraId="0E61AACF">
            <w:p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(5)</w:t>
            </w:r>
            <w:r>
              <w:rPr>
                <w:rFonts w:hint="eastAsia" w:ascii="宋体" w:hAnsi="宋体" w:eastAsia="宋体" w:cs="宋体"/>
                <w:color w:val="auto"/>
                <w:szCs w:val="24"/>
                <w:lang w:val="zh-CN"/>
              </w:rPr>
              <w:t>法律、法规、规章规定的其它</w:t>
            </w:r>
            <w:r>
              <w:rPr>
                <w:rFonts w:hint="eastAsia" w:ascii="宋体" w:hAnsi="宋体" w:eastAsia="宋体" w:cs="宋体"/>
                <w:color w:val="auto"/>
                <w:szCs w:val="24"/>
              </w:rPr>
              <w:t>情形。</w:t>
            </w:r>
          </w:p>
          <w:p w14:paraId="5DBCD73C">
            <w:p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注：公开竞标、邀请竞标中开标后递交的响应文件数量不应少于3家(原公开竞标项目因有效响应不足三家，发包人重新组织再次竞标仍不足三家的且专家审查认为交易文件没有倾向性或歧视性条款，而转为邀请竞标的情形除外)。</w:t>
            </w:r>
          </w:p>
        </w:tc>
      </w:tr>
      <w:tr w14:paraId="6CCA0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67" w:hRule="atLeast"/>
        </w:trPr>
        <w:tc>
          <w:tcPr>
            <w:tcW w:w="810" w:type="dxa"/>
            <w:tcBorders>
              <w:tl2br w:val="nil"/>
              <w:tr2bl w:val="nil"/>
            </w:tcBorders>
            <w:shd w:val="clear" w:color="auto" w:fill="FFFFFF"/>
            <w:vAlign w:val="center"/>
          </w:tcPr>
          <w:p w14:paraId="25361FC0">
            <w:pPr>
              <w:pStyle w:val="10"/>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rPr>
            </w:pPr>
          </w:p>
        </w:tc>
        <w:tc>
          <w:tcPr>
            <w:tcW w:w="2460" w:type="dxa"/>
            <w:tcBorders>
              <w:tl2br w:val="nil"/>
              <w:tr2bl w:val="nil"/>
            </w:tcBorders>
            <w:shd w:val="clear" w:color="auto" w:fill="FFFFFF"/>
            <w:vAlign w:val="center"/>
          </w:tcPr>
          <w:p w14:paraId="202483EF">
            <w:pPr>
              <w:kinsoku/>
              <w:wordWrap w:val="0"/>
              <w:topLinePunct/>
              <w:autoSpaceDE/>
              <w:autoSpaceDN/>
              <w:adjustRightInd/>
              <w:snapToGrid/>
              <w:spacing w:before="120" w:beforeLines="50"/>
              <w:ind w:left="120" w:leftChars="50"/>
              <w:jc w:val="center"/>
              <w:rPr>
                <w:rFonts w:ascii="宋体" w:hAnsi="宋体" w:eastAsia="宋体" w:cs="宋体"/>
                <w:color w:val="auto"/>
                <w:szCs w:val="24"/>
              </w:rPr>
            </w:pPr>
            <w:r>
              <w:rPr>
                <w:rFonts w:hint="eastAsia" w:ascii="宋体" w:hAnsi="宋体" w:eastAsia="宋体" w:cs="宋体"/>
                <w:color w:val="auto"/>
                <w:szCs w:val="24"/>
              </w:rPr>
              <w:t>特别说明</w:t>
            </w:r>
          </w:p>
        </w:tc>
        <w:tc>
          <w:tcPr>
            <w:tcW w:w="6480" w:type="dxa"/>
            <w:tcBorders>
              <w:tl2br w:val="nil"/>
              <w:tr2bl w:val="nil"/>
            </w:tcBorders>
            <w:shd w:val="clear" w:color="auto" w:fill="FFFFFF"/>
          </w:tcPr>
          <w:p w14:paraId="639DFFFF">
            <w:pPr>
              <w:numPr>
                <w:ilvl w:val="0"/>
                <w:numId w:val="7"/>
              </w:num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 xml:space="preserve">交易须知具体内容如与本前附表不一致的，以本前附表为准。 </w:t>
            </w:r>
          </w:p>
          <w:p w14:paraId="3E51D900">
            <w:pPr>
              <w:numPr>
                <w:ilvl w:val="0"/>
                <w:numId w:val="7"/>
              </w:numPr>
              <w:kinsoku/>
              <w:wordWrap w:val="0"/>
              <w:topLinePunct/>
              <w:autoSpaceDE/>
              <w:autoSpaceDN/>
              <w:spacing w:line="400" w:lineRule="exact"/>
              <w:ind w:left="120" w:leftChars="50"/>
              <w:rPr>
                <w:rFonts w:ascii="宋体" w:hAnsi="宋体" w:eastAsia="宋体" w:cs="宋体"/>
                <w:color w:val="auto"/>
                <w:szCs w:val="24"/>
              </w:rPr>
            </w:pPr>
            <w:r>
              <w:rPr>
                <w:rFonts w:hint="eastAsia" w:ascii="宋体" w:hAnsi="宋体" w:eastAsia="宋体" w:cs="宋体"/>
                <w:color w:val="auto"/>
                <w:szCs w:val="24"/>
              </w:rPr>
              <w:t>商务标编制：根据住房和城乡建设部、省建设主管部门对造价从业人员执业管理的相关法律法规规定以及《建设工程工程量清单计价规范》（GB50500-2013）的规定，响应报价的编制必须遵守以下规定：</w:t>
            </w:r>
          </w:p>
          <w:p w14:paraId="2393FF86">
            <w:pPr>
              <w:numPr>
                <w:ilvl w:val="0"/>
                <w:numId w:val="8"/>
              </w:numPr>
              <w:kinsoku/>
              <w:wordWrap w:val="0"/>
              <w:topLinePunct/>
              <w:autoSpaceDE/>
              <w:autoSpaceDN/>
              <w:spacing w:line="400" w:lineRule="exact"/>
              <w:ind w:left="120" w:leftChars="50" w:firstLine="0"/>
              <w:rPr>
                <w:rFonts w:ascii="宋体" w:hAnsi="宋体" w:eastAsia="宋体" w:cs="宋体"/>
                <w:color w:val="auto"/>
                <w:szCs w:val="24"/>
              </w:rPr>
            </w:pPr>
            <w:r>
              <w:rPr>
                <w:rFonts w:hint="eastAsia" w:ascii="宋体" w:hAnsi="宋体" w:eastAsia="宋体" w:cs="宋体"/>
                <w:color w:val="auto"/>
                <w:szCs w:val="24"/>
              </w:rPr>
              <w:t>响应报价应由潜在承包人或受其委托具有相应能力的工程造价咨询人编制。</w:t>
            </w:r>
          </w:p>
          <w:p w14:paraId="57E4B6D1">
            <w:pPr>
              <w:numPr>
                <w:ilvl w:val="0"/>
                <w:numId w:val="8"/>
              </w:numPr>
              <w:kinsoku/>
              <w:wordWrap w:val="0"/>
              <w:topLinePunct/>
              <w:autoSpaceDE/>
              <w:autoSpaceDN/>
              <w:spacing w:line="400" w:lineRule="exact"/>
              <w:ind w:left="120" w:leftChars="50" w:firstLine="0"/>
              <w:rPr>
                <w:rFonts w:ascii="宋体" w:hAnsi="宋体" w:eastAsia="宋体" w:cs="宋体"/>
                <w:color w:val="auto"/>
                <w:szCs w:val="24"/>
              </w:rPr>
            </w:pPr>
            <w:r>
              <w:rPr>
                <w:rFonts w:hint="eastAsia" w:ascii="宋体" w:hAnsi="宋体" w:eastAsia="宋体" w:cs="宋体"/>
                <w:color w:val="auto"/>
                <w:szCs w:val="24"/>
              </w:rPr>
              <w:t>响应文件的编制人不得接受同一工程发包人委托编制交易文件（含控制价），并不得接受其他潜在承包人委托编制响应文件。</w:t>
            </w:r>
          </w:p>
          <w:p w14:paraId="0297D6C5">
            <w:pPr>
              <w:numPr>
                <w:ilvl w:val="0"/>
                <w:numId w:val="7"/>
              </w:numPr>
              <w:kinsoku/>
              <w:wordWrap w:val="0"/>
              <w:topLinePunct/>
              <w:autoSpaceDE/>
              <w:autoSpaceDN/>
              <w:spacing w:line="400" w:lineRule="exact"/>
              <w:ind w:left="120" w:leftChars="50"/>
              <w:rPr>
                <w:rFonts w:ascii="宋体" w:hAnsi="宋体" w:eastAsia="宋体" w:cs="宋体"/>
                <w:color w:val="auto"/>
                <w:szCs w:val="24"/>
                <w:u w:val="single"/>
              </w:rPr>
            </w:pPr>
            <w:r>
              <w:rPr>
                <w:rFonts w:hint="eastAsia"/>
                <w:sz w:val="22"/>
                <w:szCs w:val="22"/>
                <w:shd w:val="pct10" w:color="auto" w:fill="FFFFFF"/>
              </w:rPr>
              <w:t>□</w:t>
            </w:r>
            <w:r>
              <w:rPr>
                <w:rFonts w:hint="eastAsia" w:ascii="宋体" w:hAnsi="宋体" w:eastAsia="宋体" w:cs="宋体"/>
                <w:color w:val="auto"/>
                <w:szCs w:val="24"/>
              </w:rPr>
              <w:t>关于报价的补充要求：</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lang w:val="en-US" w:eastAsia="zh-CN"/>
              </w:rPr>
              <w:t>/</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w:t>
            </w:r>
          </w:p>
          <w:p w14:paraId="456F7751">
            <w:pPr>
              <w:numPr>
                <w:ilvl w:val="0"/>
                <w:numId w:val="7"/>
              </w:numPr>
              <w:kinsoku/>
              <w:wordWrap w:val="0"/>
              <w:topLinePunct/>
              <w:autoSpaceDE/>
              <w:autoSpaceDN/>
              <w:spacing w:line="400" w:lineRule="exact"/>
              <w:ind w:left="120" w:leftChars="50"/>
              <w:rPr>
                <w:rFonts w:ascii="宋体" w:hAnsi="宋体" w:eastAsia="宋体" w:cs="宋体"/>
                <w:snapToGrid/>
                <w:color w:val="auto"/>
                <w:szCs w:val="24"/>
              </w:rPr>
            </w:pPr>
            <w:r>
              <w:rPr>
                <w:rFonts w:hint="eastAsia" w:ascii="宋体" w:hAnsi="宋体" w:eastAsia="宋体" w:cs="宋体"/>
                <w:color w:val="auto"/>
                <w:szCs w:val="24"/>
              </w:rPr>
              <w:t>成交价如出现《浙江省建设工程计价规则》（2018 版）（以下简称《2018 版计价规则》）所列的异常报价情形，发包人可与成交人协商确定合理单价，并在合同中明确约定。协商确定的单价仅用于工程量调整和变更后综合单价的确定。</w:t>
            </w:r>
          </w:p>
          <w:p w14:paraId="7FF3475D">
            <w:pPr>
              <w:numPr>
                <w:ilvl w:val="0"/>
                <w:numId w:val="7"/>
              </w:numPr>
              <w:kinsoku/>
              <w:wordWrap w:val="0"/>
              <w:topLinePunct/>
              <w:autoSpaceDE/>
              <w:autoSpaceDN/>
              <w:spacing w:line="400" w:lineRule="exact"/>
              <w:ind w:left="120" w:leftChars="50"/>
              <w:rPr>
                <w:rFonts w:ascii="宋体" w:hAnsi="宋体" w:eastAsia="宋体" w:cs="宋体"/>
                <w:snapToGrid/>
                <w:color w:val="auto"/>
                <w:szCs w:val="24"/>
              </w:rPr>
            </w:pPr>
            <w:r>
              <w:rPr>
                <w:rFonts w:hint="eastAsia" w:ascii="宋体" w:hAnsi="宋体" w:eastAsia="宋体" w:cs="宋体"/>
                <w:color w:val="auto"/>
                <w:szCs w:val="24"/>
              </w:rPr>
              <w:t>工伤保险按相关规定要求执行。</w:t>
            </w:r>
          </w:p>
          <w:p w14:paraId="34D93C2D">
            <w:pPr>
              <w:numPr>
                <w:ilvl w:val="0"/>
                <w:numId w:val="7"/>
              </w:numPr>
              <w:kinsoku/>
              <w:wordWrap w:val="0"/>
              <w:topLinePunct/>
              <w:autoSpaceDE/>
              <w:autoSpaceDN/>
              <w:spacing w:line="400" w:lineRule="exact"/>
              <w:ind w:left="120" w:leftChars="50"/>
              <w:rPr>
                <w:rFonts w:ascii="宋体" w:hAnsi="宋体" w:eastAsia="宋体" w:cs="宋体"/>
                <w:snapToGrid/>
                <w:color w:val="auto"/>
                <w:szCs w:val="24"/>
              </w:rPr>
            </w:pPr>
            <w:r>
              <w:rPr>
                <w:rFonts w:hint="eastAsia" w:ascii="宋体" w:hAnsi="宋体" w:eastAsia="宋体" w:cs="宋体"/>
                <w:color w:val="auto"/>
                <w:szCs w:val="24"/>
              </w:rPr>
              <w:t>潜在承包人应在响应开启前自行做好省、市信息平台相关信息的维护工作，并对企业资质、人员资格、项目状况、信用评价等信息的真实性、准确性、完整性负责。</w:t>
            </w:r>
          </w:p>
          <w:p w14:paraId="4014899F">
            <w:pPr>
              <w:numPr>
                <w:ilvl w:val="0"/>
                <w:numId w:val="7"/>
              </w:numPr>
              <w:kinsoku/>
              <w:wordWrap w:val="0"/>
              <w:topLinePunct/>
              <w:autoSpaceDE/>
              <w:autoSpaceDN/>
              <w:spacing w:line="400" w:lineRule="exact"/>
              <w:ind w:left="120" w:leftChars="50"/>
              <w:rPr>
                <w:rFonts w:ascii="宋体" w:hAnsi="宋体" w:eastAsia="宋体" w:cs="宋体"/>
                <w:snapToGrid/>
                <w:color w:val="auto"/>
                <w:szCs w:val="24"/>
              </w:rPr>
            </w:pPr>
            <w:r>
              <w:rPr>
                <w:rFonts w:hint="eastAsia" w:ascii="宋体" w:hAnsi="宋体" w:eastAsia="宋体" w:cs="宋体"/>
                <w:color w:val="auto"/>
                <w:szCs w:val="24"/>
              </w:rPr>
              <w:t>参照《杭州市工程建设项目招标投标管理暂行办法》杭政函〔2019〕27号文的规定，评标中，发现在建设工程招标投标活动中有管理办法中“二、招标、投标中第（十六）条情形之一的”，且经询标澄清潜在承包人无证据材料证明其合理性的，经评审小组半数以上成员或发包人确认，其响应可视作串通并按否决处理，不再对其进行评审。经后续调查处理，即使最终无法认定串通行为成立的，也不影响对其按否决处理的结果。</w:t>
            </w:r>
          </w:p>
          <w:p w14:paraId="51AC950F">
            <w:pPr>
              <w:numPr>
                <w:ilvl w:val="0"/>
                <w:numId w:val="7"/>
              </w:numPr>
              <w:kinsoku/>
              <w:wordWrap w:val="0"/>
              <w:topLinePunct/>
              <w:autoSpaceDE/>
              <w:autoSpaceDN/>
              <w:spacing w:line="400" w:lineRule="exact"/>
              <w:ind w:left="120" w:leftChars="50"/>
              <w:rPr>
                <w:rFonts w:ascii="宋体" w:hAnsi="宋体" w:eastAsia="宋体" w:cs="宋体"/>
                <w:snapToGrid/>
                <w:color w:val="auto"/>
                <w:szCs w:val="24"/>
              </w:rPr>
            </w:pPr>
            <w:r>
              <w:rPr>
                <w:rFonts w:hint="eastAsia" w:ascii="宋体" w:hAnsi="宋体" w:eastAsia="宋体" w:cs="宋体"/>
                <w:color w:val="auto"/>
                <w:szCs w:val="24"/>
              </w:rPr>
              <w:t>本项目发包人主要材料及设备中，部分设有三个及以上档次相当的品牌要求，具体品牌名单后已添加“或相当于”。潜在承包人应按推荐的品牌、规格确定报价，并在响应文件中明确所选品牌（厂家）及价格；潜在承包人在响应文件中若提供了发包人推荐品牌以外的产品，应同时提供相当于发包人推荐品牌产品同档次的证明材料；潜在承包人若未注明品牌、不选择发包人的推荐品牌且未提供同档次的证明材料的，成交后由发包人在所列品牌中任选其一，成交人须无条件接受。（注：交易文件或清单中未提供品牌的材料均为国产优质品牌）。</w:t>
            </w:r>
          </w:p>
          <w:p w14:paraId="45F3C438">
            <w:pPr>
              <w:numPr>
                <w:ilvl w:val="0"/>
                <w:numId w:val="7"/>
              </w:numPr>
              <w:kinsoku/>
              <w:wordWrap w:val="0"/>
              <w:topLinePunct/>
              <w:autoSpaceDE/>
              <w:autoSpaceDN/>
              <w:spacing w:line="400" w:lineRule="exact"/>
              <w:ind w:left="120" w:leftChars="50"/>
              <w:rPr>
                <w:rFonts w:ascii="宋体" w:hAnsi="宋体" w:eastAsia="宋体" w:cs="宋体"/>
                <w:snapToGrid/>
                <w:color w:val="auto"/>
                <w:szCs w:val="24"/>
              </w:rPr>
            </w:pPr>
            <w:r>
              <w:rPr>
                <w:rFonts w:hint="eastAsia" w:ascii="宋体" w:hAnsi="宋体" w:eastAsia="宋体" w:cs="宋体"/>
                <w:color w:val="auto"/>
                <w:szCs w:val="24"/>
              </w:rPr>
              <w:t>潜在承包人应配足配齐经营活动所需相应的人员、技术装备，使用自有办公设备编制、递交、解密响应文件。</w:t>
            </w:r>
          </w:p>
          <w:p w14:paraId="346CE8F6">
            <w:pPr>
              <w:numPr>
                <w:ilvl w:val="0"/>
                <w:numId w:val="7"/>
              </w:numPr>
              <w:kinsoku/>
              <w:wordWrap w:val="0"/>
              <w:topLinePunct/>
              <w:autoSpaceDE/>
              <w:autoSpaceDN/>
              <w:spacing w:line="400" w:lineRule="exact"/>
              <w:ind w:left="120" w:leftChars="50"/>
              <w:rPr>
                <w:rFonts w:ascii="宋体" w:hAnsi="宋体" w:eastAsia="宋体" w:cs="宋体"/>
                <w:snapToGrid/>
                <w:color w:val="auto"/>
                <w:szCs w:val="24"/>
              </w:rPr>
            </w:pPr>
            <w:r>
              <w:rPr>
                <w:rFonts w:hint="eastAsia" w:ascii="宋体" w:hAnsi="宋体" w:eastAsia="宋体" w:cs="宋体"/>
                <w:color w:val="auto"/>
                <w:szCs w:val="24"/>
              </w:rPr>
              <w:t>成交人应在成交通知书发出后</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lang w:val="en-US" w:eastAsia="zh-CN"/>
              </w:rPr>
              <w:t>2</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个工作日内补交与电子响应文件一致的纸质响应文件：含正本 </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lang w:val="en-US" w:eastAsia="zh-CN"/>
              </w:rPr>
              <w:t>1</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 份、副本 </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lang w:val="en-US" w:eastAsia="zh-CN"/>
              </w:rPr>
              <w:t>3</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 份，电子响应文件刻录光盘 </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lang w:val="en-US" w:eastAsia="zh-CN"/>
              </w:rPr>
              <w:t>1</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 份。实行技术响应承诺制的项目，补交的响应文件须同时包括施工组织设计文件、监理大纲等技术方案。</w:t>
            </w:r>
          </w:p>
        </w:tc>
      </w:tr>
    </w:tbl>
    <w:p w14:paraId="23E924EC">
      <w:pPr>
        <w:kinsoku/>
        <w:wordWrap w:val="0"/>
        <w:topLinePunct/>
        <w:autoSpaceDE/>
        <w:autoSpaceDN/>
        <w:adjustRightInd/>
        <w:spacing w:line="134" w:lineRule="exact"/>
        <w:ind w:firstLine="480" w:firstLineChars="200"/>
        <w:rPr>
          <w:rFonts w:ascii="Times New Roman" w:hAnsi="Times New Roman" w:cs="Times New Roman"/>
          <w:color w:val="auto"/>
        </w:rPr>
      </w:pPr>
    </w:p>
    <w:p w14:paraId="11F386C5">
      <w:pPr>
        <w:pStyle w:val="3"/>
        <w:kinsoku/>
        <w:topLinePunct/>
        <w:rPr>
          <w:rFonts w:ascii="Times New Roman" w:hAnsi="Times New Roman" w:cs="Times New Roman"/>
          <w:color w:val="auto"/>
        </w:rPr>
        <w:sectPr>
          <w:headerReference r:id="rId9" w:type="default"/>
          <w:footerReference r:id="rId10" w:type="default"/>
          <w:pgSz w:w="11906" w:h="16838"/>
          <w:pgMar w:top="1440" w:right="1083" w:bottom="1440" w:left="1083" w:header="850" w:footer="850" w:gutter="0"/>
          <w:pgNumType w:start="1"/>
          <w:cols w:space="0" w:num="1"/>
        </w:sectPr>
      </w:pPr>
    </w:p>
    <w:p w14:paraId="5B84029D">
      <w:pPr>
        <w:pStyle w:val="3"/>
        <w:kinsoku/>
        <w:topLinePunct/>
        <w:spacing w:line="360" w:lineRule="auto"/>
        <w:rPr>
          <w:rFonts w:ascii="Times New Roman" w:hAnsi="Times New Roman" w:cs="Times New Roman"/>
          <w:color w:val="auto"/>
        </w:rPr>
      </w:pPr>
      <w:r>
        <w:rPr>
          <w:rFonts w:ascii="Times New Roman" w:hAnsi="Times New Roman" w:cs="Times New Roman"/>
          <w:color w:val="auto"/>
        </w:rPr>
        <w:t>交易须知</w:t>
      </w:r>
    </w:p>
    <w:p w14:paraId="69E1D800">
      <w:pPr>
        <w:pStyle w:val="4"/>
        <w:kinsoku/>
        <w:topLinePunct/>
        <w:spacing w:line="25" w:lineRule="atLeast"/>
        <w:rPr>
          <w:rFonts w:ascii="Times New Roman" w:hAnsi="Times New Roman"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1.总则</w:t>
      </w:r>
    </w:p>
    <w:p w14:paraId="32AF7A3D">
      <w:pPr>
        <w:pStyle w:val="5"/>
        <w:kinsoku/>
        <w:topLinePunct/>
        <w:spacing w:line="25" w:lineRule="atLeast"/>
        <w:ind w:left="1102"/>
        <w:rPr>
          <w:rFonts w:ascii="Times New Roman" w:hAnsi="Times New Roman" w:cs="Times New Roman"/>
          <w:color w:val="auto"/>
          <w:lang w:val="en-US"/>
        </w:rPr>
      </w:pPr>
      <w:r>
        <w:rPr>
          <w:rFonts w:ascii="Times New Roman" w:hAnsi="Times New Roman" w:cs="Times New Roman"/>
          <w:color w:val="auto"/>
          <w:lang w:val="en-US"/>
        </w:rPr>
        <w:t>1.1 定义</w:t>
      </w:r>
    </w:p>
    <w:p w14:paraId="4E3DDB69">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1.1.1 发包人是为发包项目的法人或其他组织，一般是发包项目业主单位。</w:t>
      </w:r>
    </w:p>
    <w:p w14:paraId="5922E4E8">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1.1.2 代理机构是依法设立，从事招标采购代理业务并提供相关服务的社会中介组织。自行组织交易的，相关的代理内容应删除。</w:t>
      </w:r>
    </w:p>
    <w:p w14:paraId="1932489F">
      <w:pPr>
        <w:kinsoku/>
        <w:wordWrap w:val="0"/>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1.1.3潜在承包人是在交易活动中以承包为目的递交响应文件、参与交易活动的法人或其他组织。</w:t>
      </w:r>
    </w:p>
    <w:p w14:paraId="1874BAA2">
      <w:pPr>
        <w:kinsoku/>
        <w:wordWrap w:val="0"/>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1.1.4电子交易平台是指组织实施本项目电子交易活动的招必得平台</w:t>
      </w:r>
      <w:r>
        <w:fldChar w:fldCharType="begin"/>
      </w:r>
      <w:r>
        <w:instrText xml:space="preserve"> HYPERLINK "http://www.zhaobide.com" </w:instrText>
      </w:r>
      <w:r>
        <w:fldChar w:fldCharType="separate"/>
      </w:r>
      <w:r>
        <w:rPr>
          <w:rStyle w:val="27"/>
          <w:rFonts w:ascii="Times New Roman" w:hAnsi="Times New Roman" w:eastAsia="宋体" w:cs="Times New Roman"/>
          <w:color w:val="auto"/>
          <w:szCs w:val="24"/>
          <w:u w:val="none"/>
        </w:rPr>
        <w:t>(</w:t>
      </w:r>
      <w:r>
        <w:rPr>
          <w:rStyle w:val="27"/>
          <w:rFonts w:ascii="Times New Roman" w:hAnsi="Times New Roman" w:eastAsia="宋体" w:cs="Times New Roman"/>
          <w:color w:val="auto"/>
          <w:szCs w:val="24"/>
        </w:rPr>
        <w:t>网址http://www.zhaobide.com/)</w:t>
      </w:r>
      <w:r>
        <w:rPr>
          <w:rStyle w:val="27"/>
          <w:rFonts w:ascii="Times New Roman" w:hAnsi="Times New Roman" w:eastAsia="宋体" w:cs="Times New Roman"/>
          <w:color w:val="auto"/>
          <w:szCs w:val="24"/>
        </w:rPr>
        <w:fldChar w:fldCharType="end"/>
      </w:r>
      <w:r>
        <w:rPr>
          <w:rFonts w:ascii="Times New Roman" w:hAnsi="Times New Roman" w:eastAsia="宋体" w:cs="Times New Roman"/>
          <w:color w:val="auto"/>
          <w:szCs w:val="24"/>
        </w:rPr>
        <w:t>。</w:t>
      </w:r>
    </w:p>
    <w:p w14:paraId="5F8EFEF5">
      <w:pPr>
        <w:widowControl w:val="0"/>
        <w:kinsoku/>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1.1.5电子签名是指数据电文中以电子形式所含、所附用于识别签名人身份并表明签名人认可其中内容的数据</w:t>
      </w:r>
      <w:r>
        <w:rPr>
          <w:rFonts w:ascii="Times New Roman" w:hAnsi="Times New Roman" w:cs="Times New Roman"/>
          <w:color w:val="auto"/>
          <w:szCs w:val="24"/>
        </w:rPr>
        <w:t>。</w:t>
      </w:r>
    </w:p>
    <w:p w14:paraId="3A6B501A">
      <w:pPr>
        <w:kinsoku/>
        <w:wordWrap w:val="0"/>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1.1.6公开竞标、邀请竞标</w:t>
      </w:r>
      <w:r>
        <w:rPr>
          <w:rFonts w:ascii="Times New Roman" w:hAnsi="Times New Roman" w:cs="Times New Roman"/>
          <w:color w:val="auto"/>
          <w:szCs w:val="24"/>
        </w:rPr>
        <w:t>是</w:t>
      </w:r>
      <w:r>
        <w:rPr>
          <w:rFonts w:ascii="Times New Roman" w:hAnsi="Times New Roman" w:eastAsia="宋体" w:cs="Times New Roman"/>
          <w:color w:val="auto"/>
          <w:szCs w:val="24"/>
        </w:rPr>
        <w:t>指发包</w:t>
      </w:r>
      <w:r>
        <w:rPr>
          <w:rFonts w:ascii="Times New Roman" w:hAnsi="Times New Roman" w:cs="Times New Roman"/>
          <w:color w:val="auto"/>
          <w:szCs w:val="24"/>
        </w:rPr>
        <w:t>人</w:t>
      </w:r>
      <w:r>
        <w:rPr>
          <w:rFonts w:ascii="Times New Roman" w:hAnsi="Times New Roman" w:eastAsia="宋体" w:cs="Times New Roman"/>
          <w:color w:val="auto"/>
          <w:szCs w:val="24"/>
        </w:rPr>
        <w:t>以交易公告的方式邀请不少于3家不特定的潜在承包人进行交易的方式</w:t>
      </w:r>
      <w:r>
        <w:rPr>
          <w:rFonts w:ascii="Times New Roman" w:hAnsi="Times New Roman" w:cs="Times New Roman"/>
          <w:color w:val="auto"/>
          <w:szCs w:val="24"/>
        </w:rPr>
        <w:t>；</w:t>
      </w:r>
      <w:r>
        <w:rPr>
          <w:rFonts w:ascii="Times New Roman" w:hAnsi="Times New Roman" w:eastAsia="宋体" w:cs="Times New Roman"/>
          <w:color w:val="auto"/>
          <w:szCs w:val="24"/>
        </w:rPr>
        <w:t>原公开竞标项目因有效</w:t>
      </w:r>
      <w:r>
        <w:rPr>
          <w:rFonts w:hint="eastAsia" w:ascii="Times New Roman" w:hAnsi="Times New Roman" w:eastAsia="宋体" w:cs="Times New Roman"/>
          <w:color w:val="auto"/>
          <w:szCs w:val="24"/>
        </w:rPr>
        <w:t>响应</w:t>
      </w:r>
      <w:r>
        <w:rPr>
          <w:rFonts w:ascii="Times New Roman" w:hAnsi="Times New Roman" w:eastAsia="宋体" w:cs="Times New Roman"/>
          <w:color w:val="auto"/>
          <w:szCs w:val="24"/>
        </w:rPr>
        <w:t>不足三家，发包人重新组织再次竞标仍不足三家的且专家审查认为交易文件没有倾向性或歧视性条款而转为邀请竞标的，有效响应文件不少于2家时可进行交易。</w:t>
      </w:r>
    </w:p>
    <w:p w14:paraId="77BCAFE0">
      <w:pPr>
        <w:widowControl w:val="0"/>
        <w:kinsoku/>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cs="Times New Roman"/>
          <w:color w:val="auto"/>
          <w:szCs w:val="24"/>
        </w:rPr>
        <w:t xml:space="preserve">1.1.7 </w:t>
      </w:r>
      <w:r>
        <w:rPr>
          <w:rFonts w:ascii="Times New Roman" w:hAnsi="Times New Roman" w:eastAsia="宋体" w:cs="Times New Roman"/>
          <w:color w:val="auto"/>
          <w:szCs w:val="24"/>
        </w:rPr>
        <w:t>“▲” 系指实质性要求条款，“</w:t>
      </w:r>
      <w:r>
        <w:rPr>
          <w:rFonts w:hint="eastAsia" w:ascii="宋体" w:hAnsi="宋体" w:eastAsia="宋体" w:cs="宋体"/>
          <w:color w:val="auto"/>
          <w:szCs w:val="24"/>
        </w:rPr>
        <w:t>■</w:t>
      </w:r>
      <w:r>
        <w:rPr>
          <w:rFonts w:ascii="Times New Roman" w:hAnsi="Times New Roman" w:eastAsia="宋体" w:cs="Times New Roman"/>
          <w:color w:val="auto"/>
          <w:szCs w:val="24"/>
        </w:rPr>
        <w:t>” 系指适用本项目的要求，“</w:t>
      </w:r>
      <w:r>
        <w:rPr>
          <w:rFonts w:hint="eastAsia" w:ascii="宋体" w:hAnsi="宋体" w:eastAsia="宋体" w:cs="宋体"/>
        </w:rPr>
        <w:t>□</w:t>
      </w:r>
      <w:r>
        <w:rPr>
          <w:rFonts w:ascii="Times New Roman" w:hAnsi="Times New Roman" w:eastAsia="宋体" w:cs="Times New Roman"/>
          <w:color w:val="auto"/>
          <w:szCs w:val="24"/>
        </w:rPr>
        <w:t>” 系指不适用本项目的要求。</w:t>
      </w:r>
    </w:p>
    <w:p w14:paraId="1B7EF26C">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lang w:val="en-US"/>
        </w:rPr>
        <w:t xml:space="preserve">1.2 </w:t>
      </w:r>
      <w:r>
        <w:rPr>
          <w:rFonts w:ascii="Times New Roman" w:hAnsi="Times New Roman" w:cs="Times New Roman"/>
          <w:color w:val="auto"/>
        </w:rPr>
        <w:t>发包项目概况</w:t>
      </w:r>
    </w:p>
    <w:p w14:paraId="23943A64">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本项目已获批准，资金已经落实，已具备发包条件。发包人、代理机构、项目名称、发包范围、建设地点、建设规模、承包方式、交易方式、工程概预算情况详见交易公告</w:t>
      </w:r>
      <w:r>
        <w:rPr>
          <w:rFonts w:hint="eastAsia" w:eastAsia="宋体" w:cs="宋体"/>
          <w:szCs w:val="24"/>
        </w:rPr>
        <w:t>或响应邀请书</w:t>
      </w:r>
      <w:r>
        <w:rPr>
          <w:rFonts w:ascii="Times New Roman" w:hAnsi="Times New Roman" w:eastAsia="宋体" w:cs="Times New Roman"/>
          <w:color w:val="auto"/>
          <w:szCs w:val="24"/>
        </w:rPr>
        <w:t>。</w:t>
      </w:r>
    </w:p>
    <w:p w14:paraId="410034A3">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val="en-US"/>
        </w:rPr>
        <w:t xml:space="preserve">3 </w:t>
      </w:r>
      <w:r>
        <w:rPr>
          <w:rFonts w:ascii="Times New Roman" w:hAnsi="Times New Roman" w:cs="Times New Roman"/>
          <w:color w:val="auto"/>
        </w:rPr>
        <w:t>计划工期 (服务期限) 和质量要求</w:t>
      </w:r>
    </w:p>
    <w:p w14:paraId="6C1BAEC8">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见交易须知前附表。</w:t>
      </w:r>
    </w:p>
    <w:p w14:paraId="6D529C71">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val="en-US"/>
        </w:rPr>
        <w:t>4 潜在</w:t>
      </w:r>
      <w:r>
        <w:rPr>
          <w:rFonts w:ascii="Times New Roman" w:hAnsi="Times New Roman" w:cs="Times New Roman"/>
          <w:color w:val="auto"/>
        </w:rPr>
        <w:t>承包人资格要求</w:t>
      </w:r>
    </w:p>
    <w:p w14:paraId="256BA114">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1.4.1 潜在承包人应具备承担本项目资质条件、能力和信誉：资质要求见交易公告</w:t>
      </w:r>
      <w:r>
        <w:rPr>
          <w:rFonts w:hint="eastAsia" w:eastAsia="宋体" w:cs="宋体"/>
          <w:szCs w:val="24"/>
        </w:rPr>
        <w:t>或响应邀请书</w:t>
      </w:r>
      <w:r>
        <w:rPr>
          <w:rFonts w:ascii="Times New Roman" w:hAnsi="Times New Roman" w:eastAsia="宋体" w:cs="Times New Roman"/>
          <w:color w:val="auto"/>
          <w:szCs w:val="24"/>
        </w:rPr>
        <w:t>。</w:t>
      </w:r>
    </w:p>
    <w:p w14:paraId="7745C3C4">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1.4.2 交易公告规定接受联合体承包的，联合体除应符合本章第 1.4.1 项和交易须知前附表的要求外，还应遵守以下规定：</w:t>
      </w:r>
    </w:p>
    <w:p w14:paraId="7D03681B">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(1)联合体各方应按交易文件提供的格式签订联合体协议书，明确联合体牵头人和各方权利义务；</w:t>
      </w:r>
    </w:p>
    <w:p w14:paraId="155F1546">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(2)由同一专业的单位组成的联合体，按照资质等级较低的单位确定资质等级；</w:t>
      </w:r>
    </w:p>
    <w:p w14:paraId="28101D38">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(3)联合体各方不得再以自己名义单独或参加其他联合体在同一项目中响应。</w:t>
      </w:r>
    </w:p>
    <w:p w14:paraId="223ADB03">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1.4.3潜在承包人资格审查方式：资格后审。</w:t>
      </w:r>
    </w:p>
    <w:p w14:paraId="597C6DC5">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1.4.4潜在承包人不得存在下列情形之一：</w:t>
      </w:r>
    </w:p>
    <w:p w14:paraId="4BE41F02">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(1)为发包人不具有独立法人资格的附属机构 (单位) ；</w:t>
      </w:r>
    </w:p>
    <w:p w14:paraId="2B49BFFC">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(2)与发包人存在利害关系可能影响交易公正性的法人、其他组织或者个人；</w:t>
      </w:r>
    </w:p>
    <w:p w14:paraId="795D5D0A">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(3)不同潜在承包人的单位负责人为同一人或者互相存在控股、管理关系的；</w:t>
      </w:r>
    </w:p>
    <w:p w14:paraId="038FEC29">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(4)为本项目前期准备提供设计或咨询服务的或本项目的监理人、代建人；</w:t>
      </w:r>
    </w:p>
    <w:p w14:paraId="3D7C6CF5">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(5)为本项目提供招标(采购)代理服务的；</w:t>
      </w:r>
    </w:p>
    <w:p w14:paraId="4EC1CE7B">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(6)与本项目的监理人或代建人或代理机构同为一个法定代表人的、存在相互控股或参股的，存在相互任职或工作的；</w:t>
      </w:r>
    </w:p>
    <w:p w14:paraId="4E1C98DE">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(7)被责令停产停业、暂扣或者吊销许可证、暂扣或者吊销执照；</w:t>
      </w:r>
    </w:p>
    <w:p w14:paraId="3043BC26">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(8)进入清算程序，或被宣告破产，或其他丧失履约能力的情形；</w:t>
      </w:r>
    </w:p>
    <w:p w14:paraId="33F9C885">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（9）被依法暂停或取消在项目所在地</w:t>
      </w:r>
      <w:r>
        <w:rPr>
          <w:rFonts w:hint="eastAsia" w:ascii="Times New Roman" w:hAnsi="Times New Roman" w:eastAsia="宋体" w:cs="Times New Roman"/>
          <w:color w:val="auto"/>
          <w:szCs w:val="24"/>
        </w:rPr>
        <w:t>交易</w:t>
      </w:r>
      <w:r>
        <w:rPr>
          <w:rFonts w:ascii="Times New Roman" w:hAnsi="Times New Roman" w:eastAsia="宋体" w:cs="Times New Roman"/>
          <w:color w:val="auto"/>
          <w:szCs w:val="24"/>
        </w:rPr>
        <w:t>资格的，或在公示期内被限制参与城投集团系统小额工程交易活动的；</w:t>
      </w:r>
    </w:p>
    <w:p w14:paraId="2C284892">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(10)法律法规或交易须知前附表规定的其他情形。</w:t>
      </w:r>
    </w:p>
    <w:p w14:paraId="28CE8B67">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lang w:val="en-US"/>
        </w:rPr>
        <w:t>1.5</w:t>
      </w:r>
      <w:r>
        <w:rPr>
          <w:rFonts w:hint="eastAsia" w:ascii="Times New Roman" w:hAnsi="Times New Roman" w:cs="Times New Roman"/>
          <w:color w:val="auto"/>
        </w:rPr>
        <w:t xml:space="preserve"> 费用承担</w:t>
      </w:r>
    </w:p>
    <w:p w14:paraId="7CB3D6C5">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潜在承包人准备和参加交易活动发生的费用自理。</w:t>
      </w:r>
    </w:p>
    <w:p w14:paraId="46935776">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val="en-US"/>
        </w:rPr>
        <w:t>6</w:t>
      </w:r>
      <w:r>
        <w:rPr>
          <w:rFonts w:ascii="Times New Roman" w:hAnsi="Times New Roman" w:cs="Times New Roman"/>
          <w:color w:val="auto"/>
        </w:rPr>
        <w:t xml:space="preserve"> 保密</w:t>
      </w:r>
    </w:p>
    <w:p w14:paraId="2F20320E">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参与本项目交易活动的各方应对交易文件和响应文件中的商业和技术等秘密保密，否则应承担相应的法律责任。</w:t>
      </w:r>
    </w:p>
    <w:p w14:paraId="305324A3">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val="en-US"/>
        </w:rPr>
        <w:t>7</w:t>
      </w:r>
      <w:r>
        <w:rPr>
          <w:rFonts w:ascii="Times New Roman" w:hAnsi="Times New Roman" w:cs="Times New Roman"/>
          <w:color w:val="auto"/>
        </w:rPr>
        <w:t xml:space="preserve"> 语言文字</w:t>
      </w:r>
    </w:p>
    <w:p w14:paraId="2BCDDC84">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交易文件和响应文件使用的语言文字为中文。专用术语使用外文的，应附有中文注释。</w:t>
      </w:r>
    </w:p>
    <w:p w14:paraId="42E6FDAA">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val="en-US"/>
        </w:rPr>
        <w:t>8</w:t>
      </w:r>
      <w:r>
        <w:rPr>
          <w:rFonts w:ascii="Times New Roman" w:hAnsi="Times New Roman" w:cs="Times New Roman"/>
          <w:color w:val="auto"/>
        </w:rPr>
        <w:t xml:space="preserve"> 计量单位</w:t>
      </w:r>
    </w:p>
    <w:p w14:paraId="7D3D072D">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所有计量均采用中华人民共和国法定计量单位。</w:t>
      </w:r>
    </w:p>
    <w:p w14:paraId="11468745">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val="en-US"/>
        </w:rPr>
        <w:t>9</w:t>
      </w:r>
      <w:r>
        <w:rPr>
          <w:rFonts w:ascii="Times New Roman" w:hAnsi="Times New Roman" w:cs="Times New Roman"/>
          <w:color w:val="auto"/>
        </w:rPr>
        <w:t xml:space="preserve"> 踏勘现场</w:t>
      </w:r>
    </w:p>
    <w:p w14:paraId="17EBC87E">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1.9.1 发包人不集中组织现场踏勘。</w:t>
      </w:r>
    </w:p>
    <w:p w14:paraId="09A4CC44">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1.9.2 潜在承包人认为需要踏勘现场的，由其自行踏勘，发生的费用自理。</w:t>
      </w:r>
    </w:p>
    <w:p w14:paraId="7EB36D7A">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1.9.3 潜在承包人自行负责在踏勘现场中所发生的人员伤亡和财产损失。</w:t>
      </w:r>
    </w:p>
    <w:p w14:paraId="1883FB35">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val="en-US"/>
        </w:rPr>
        <w:t>10</w:t>
      </w:r>
      <w:r>
        <w:rPr>
          <w:rFonts w:ascii="Times New Roman" w:hAnsi="Times New Roman" w:cs="Times New Roman"/>
          <w:color w:val="auto"/>
        </w:rPr>
        <w:t xml:space="preserve"> 交易预备会</w:t>
      </w:r>
    </w:p>
    <w:p w14:paraId="046E3DFB">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本项目不召开交易预备会。</w:t>
      </w:r>
    </w:p>
    <w:p w14:paraId="16974A5B">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val="en-US"/>
        </w:rPr>
        <w:t>11</w:t>
      </w:r>
      <w:r>
        <w:rPr>
          <w:rFonts w:ascii="Times New Roman" w:hAnsi="Times New Roman" w:cs="Times New Roman"/>
          <w:color w:val="auto"/>
        </w:rPr>
        <w:t xml:space="preserve"> 分包</w:t>
      </w:r>
    </w:p>
    <w:p w14:paraId="2FB4E603">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除交易须知前附表约定的可以分包的内容外，一律不得分包。潜在承包人拟在成交后将项目的非主体、非关键性工作进行分包的，应符合相关法律法规规定。</w:t>
      </w:r>
    </w:p>
    <w:p w14:paraId="21AA4DE6">
      <w:pPr>
        <w:pStyle w:val="4"/>
        <w:kinsoku/>
        <w:topLinePunct/>
        <w:spacing w:line="25" w:lineRule="atLeast"/>
        <w:rPr>
          <w:rFonts w:ascii="Times New Roman" w:hAnsi="Times New Roman"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2.交易文件</w:t>
      </w:r>
    </w:p>
    <w:p w14:paraId="6C28DD42">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 xml:space="preserve">2.1 </w:t>
      </w:r>
      <w:r>
        <w:rPr>
          <w:rFonts w:ascii="Times New Roman" w:hAnsi="Times New Roman" w:cs="Times New Roman"/>
          <w:color w:val="auto"/>
          <w:lang w:val="en-US"/>
        </w:rPr>
        <w:t>交易</w:t>
      </w:r>
      <w:r>
        <w:rPr>
          <w:rFonts w:ascii="Times New Roman" w:hAnsi="Times New Roman" w:cs="Times New Roman"/>
          <w:color w:val="auto"/>
        </w:rPr>
        <w:t>文件的组成</w:t>
      </w:r>
    </w:p>
    <w:p w14:paraId="376649E3">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2.1.1交易公告；</w:t>
      </w:r>
    </w:p>
    <w:p w14:paraId="21A85181">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2.1.2交易须知；</w:t>
      </w:r>
    </w:p>
    <w:p w14:paraId="2DC5C589">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2.1.3评审办法；</w:t>
      </w:r>
    </w:p>
    <w:p w14:paraId="3FF30819">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2.1.4合同条款及格式；</w:t>
      </w:r>
    </w:p>
    <w:p w14:paraId="4B3F2467">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2.1.5工程量清单；</w:t>
      </w:r>
    </w:p>
    <w:p w14:paraId="0D2E1B6C">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2.1.6图纸；</w:t>
      </w:r>
    </w:p>
    <w:p w14:paraId="2550A296">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2.1.7技术标准和要求；</w:t>
      </w:r>
    </w:p>
    <w:p w14:paraId="6B3051D8">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2.1.8响应文件格式；</w:t>
      </w:r>
    </w:p>
    <w:p w14:paraId="63E65A7D">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2.1.9交易文件前附表规定的其他材料。</w:t>
      </w:r>
    </w:p>
    <w:p w14:paraId="3F6042DF">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根据本章第2.2款对交易文件所作的澄清、修改、补充 (如有)，构成交易文件组成部分。</w:t>
      </w:r>
    </w:p>
    <w:p w14:paraId="6F307D31">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工程量清单及说明、图纸及其他技术资料的内容由发包人提供。</w:t>
      </w:r>
    </w:p>
    <w:p w14:paraId="2A30A87F">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 xml:space="preserve">2.2 </w:t>
      </w:r>
      <w:r>
        <w:rPr>
          <w:rFonts w:ascii="Times New Roman" w:hAnsi="Times New Roman" w:cs="Times New Roman"/>
          <w:color w:val="auto"/>
          <w:lang w:val="en-US"/>
        </w:rPr>
        <w:t>交易</w:t>
      </w:r>
      <w:r>
        <w:rPr>
          <w:rFonts w:ascii="Times New Roman" w:hAnsi="Times New Roman" w:cs="Times New Roman"/>
          <w:color w:val="auto"/>
        </w:rPr>
        <w:t>文件的澄清</w:t>
      </w:r>
    </w:p>
    <w:p w14:paraId="63B1214D">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2.2.1 潜在承包人应仔细阅读和检查交易文件的全部内容。如发现缺页或附件不全，应及时向发包人提出，以便补齐。已获取交易文件的潜在承包人，若有问题需要发包人澄清，应按交易公告规定的要求提疑，登录电子交易平台在项目公告页点击“提疑”，要求发包人对交易文件予以澄清（适用于电子标和非电子标）。</w:t>
      </w:r>
    </w:p>
    <w:p w14:paraId="5A5912C6">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2.2.2 代理机构对交易文件进行澄清的，将在电子交易平台发布公告，但不指明澄清问题的来源。同时视情况决定是否延长响应文件递交(上传)截止时间和响应文件开启时间。当澄清内容与交易文件相互矛盾时，以最后发出的补充文件为准。</w:t>
      </w:r>
    </w:p>
    <w:p w14:paraId="44FCD38B">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2.2.3 潜在承包人应自行关注电子交易平台发布的澄清文件信息，发包人不再一一通知。潜在承包人因自身原因贻误行为导致响应失败的，责任自负。</w:t>
      </w:r>
    </w:p>
    <w:p w14:paraId="2A3FC421">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color w:val="auto"/>
          <w:lang w:val="en-US"/>
        </w:rPr>
        <w:t>3</w:t>
      </w:r>
      <w:r>
        <w:rPr>
          <w:rFonts w:ascii="Times New Roman" w:hAnsi="Times New Roman" w:cs="Times New Roman"/>
          <w:color w:val="auto"/>
        </w:rPr>
        <w:t xml:space="preserve"> </w:t>
      </w:r>
      <w:r>
        <w:rPr>
          <w:rFonts w:ascii="Times New Roman" w:hAnsi="Times New Roman" w:cs="Times New Roman"/>
          <w:color w:val="auto"/>
          <w:lang w:val="en-US"/>
        </w:rPr>
        <w:t>交易</w:t>
      </w:r>
      <w:r>
        <w:rPr>
          <w:rFonts w:ascii="Times New Roman" w:hAnsi="Times New Roman" w:cs="Times New Roman"/>
          <w:color w:val="auto"/>
        </w:rPr>
        <w:t>文件的修改</w:t>
      </w:r>
    </w:p>
    <w:p w14:paraId="2DAE29CB">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2.3.1 发包人对交易文件进行修改的，将在电子交易平台发布公告。修改的内容可能影响响应文件编制的，发包人将在响应文件递交截止时间至少3日前发布修改文件；不足3日的，发包人应当顺延提交响应文件的截止时间。</w:t>
      </w:r>
    </w:p>
    <w:p w14:paraId="0612473E">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2.3.2 当文件的修改内容与原交易文件相互矛盾时，以最后发出的更正文件为准。</w:t>
      </w:r>
    </w:p>
    <w:p w14:paraId="527EA3D4">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2.3.3 潜在承包人应自行关注电子交易平台发布的修改文件信息，发包人不再一一通知。潜在承包人因自身原因贻误行为导致响应失败的，责任自负。</w:t>
      </w:r>
    </w:p>
    <w:p w14:paraId="3BD995B7">
      <w:pPr>
        <w:pStyle w:val="17"/>
        <w:spacing w:line="25" w:lineRule="atLeast"/>
        <w:rPr>
          <w:rFonts w:ascii="Times New Roman" w:hAnsi="Times New Roman" w:cs="Times New Roman"/>
        </w:rPr>
      </w:pPr>
    </w:p>
    <w:p w14:paraId="1219BB28">
      <w:pPr>
        <w:pStyle w:val="4"/>
        <w:kinsoku/>
        <w:topLinePunct/>
        <w:spacing w:line="25" w:lineRule="atLeast"/>
        <w:rPr>
          <w:rFonts w:ascii="Times New Roman" w:hAnsi="Times New Roman"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3. 响应文件</w:t>
      </w:r>
    </w:p>
    <w:p w14:paraId="7FEB872C">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3.1 响应文件的组成</w:t>
      </w:r>
    </w:p>
    <w:p w14:paraId="23E80C01">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3.1.1资信标</w:t>
      </w:r>
      <w:r>
        <w:rPr>
          <w:rFonts w:hint="eastAsia" w:ascii="Times New Roman" w:hAnsi="Times New Roman" w:eastAsia="宋体" w:cs="Times New Roman"/>
          <w:color w:val="auto"/>
          <w:szCs w:val="24"/>
        </w:rPr>
        <w:t>及资格审查</w:t>
      </w:r>
      <w:r>
        <w:rPr>
          <w:rFonts w:ascii="Times New Roman" w:hAnsi="Times New Roman" w:eastAsia="宋体" w:cs="Times New Roman"/>
          <w:color w:val="auto"/>
          <w:szCs w:val="24"/>
        </w:rPr>
        <w:t>文件主要内容</w:t>
      </w:r>
    </w:p>
    <w:p w14:paraId="57B8B217">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3.1.1.1诚信承诺书(详见格式)；</w:t>
      </w:r>
    </w:p>
    <w:p w14:paraId="5D279F93">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3.1.1.2法定代表人身份证明书(详见格式)；</w:t>
      </w:r>
    </w:p>
    <w:p w14:paraId="54A62191">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3.1.1.3授权委托书(详见格式)；</w:t>
      </w:r>
    </w:p>
    <w:p w14:paraId="6AB5D631">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3.1.1.4企业基本情况表(详见格式)；</w:t>
      </w:r>
    </w:p>
    <w:p w14:paraId="2ADA9457">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3.1.1.5项目管理班子配备</w:t>
      </w:r>
      <w:r>
        <w:rPr>
          <w:rFonts w:hint="eastAsia" w:ascii="Times New Roman" w:hAnsi="Times New Roman" w:eastAsia="宋体" w:cs="Times New Roman"/>
          <w:color w:val="auto"/>
          <w:szCs w:val="24"/>
        </w:rPr>
        <w:t>：</w:t>
      </w:r>
    </w:p>
    <w:p w14:paraId="7829F5D7">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　(1)项目管理班子配备情况表(详见格式)；</w:t>
      </w:r>
    </w:p>
    <w:p w14:paraId="6C574C54">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　(2)</w:t>
      </w:r>
      <w:r>
        <w:rPr>
          <w:rFonts w:hint="eastAsia" w:ascii="Times New Roman" w:hAnsi="Times New Roman" w:eastAsia="宋体" w:cs="Times New Roman"/>
          <w:color w:val="auto"/>
          <w:szCs w:val="24"/>
        </w:rPr>
        <w:t>项目</w:t>
      </w:r>
      <w:r>
        <w:rPr>
          <w:rFonts w:ascii="Times New Roman" w:hAnsi="Times New Roman" w:eastAsia="宋体" w:cs="Times New Roman"/>
          <w:color w:val="auto"/>
          <w:szCs w:val="24"/>
        </w:rPr>
        <w:t>负责人简历表(详见格式)；</w:t>
      </w:r>
    </w:p>
    <w:p w14:paraId="20952F3E">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　(3)项目技术负责人简历表(详见格式)；</w:t>
      </w:r>
    </w:p>
    <w:p w14:paraId="2D381F22">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　(4)项目管理班子配备情况和其他辅助说明资料(详见格式)。</w:t>
      </w:r>
    </w:p>
    <w:p w14:paraId="33A7413F">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3.1.1.6业绩公示汇总表(附业绩证明材料，详见格式)；</w:t>
      </w:r>
    </w:p>
    <w:p w14:paraId="083DCB93">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3.1.1.7符合性审查资料汇总表(详见格式)；</w:t>
      </w:r>
    </w:p>
    <w:p w14:paraId="6B27FB89">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3.1.1.8资格要求、评审标准相应的资信资料；</w:t>
      </w:r>
    </w:p>
    <w:p w14:paraId="5BDD1334">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3.1.1.9发包人要求提交的其他资料(详见交易须知前附表)。</w:t>
      </w:r>
    </w:p>
    <w:p w14:paraId="45F582CB">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3.1.2技术标文件主要内容</w:t>
      </w:r>
    </w:p>
    <w:p w14:paraId="379A4C73">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3.1.2.1施工组织设计；</w:t>
      </w:r>
    </w:p>
    <w:p w14:paraId="40B4C2C4">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(1)工程概况及控制目标；</w:t>
      </w:r>
    </w:p>
    <w:p w14:paraId="2B0448CF">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(2)施工总体布置；</w:t>
      </w:r>
    </w:p>
    <w:p w14:paraId="184A0A4B">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(3)工程投入的施工机械设备情况、主要施工机械进场计划；</w:t>
      </w:r>
    </w:p>
    <w:p w14:paraId="3BA9B91C">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(4)劳动力安排计划；　　</w:t>
      </w:r>
    </w:p>
    <w:p w14:paraId="28BD366F">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(5)施工进度计划网络图；</w:t>
      </w:r>
    </w:p>
    <w:p w14:paraId="62CF80EC">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(6)施工总平面图布置设计。</w:t>
      </w:r>
    </w:p>
    <w:p w14:paraId="26AD12EF">
      <w:pPr>
        <w:kinsoku/>
        <w:topLinePunct/>
        <w:snapToGrid/>
        <w:spacing w:line="25" w:lineRule="atLeast"/>
        <w:ind w:firstLine="720" w:firstLineChars="300"/>
        <w:rPr>
          <w:rFonts w:ascii="Times New Roman" w:hAnsi="Times New Roman" w:eastAsia="宋体" w:cs="Times New Roman"/>
          <w:color w:val="auto"/>
          <w:szCs w:val="24"/>
        </w:rPr>
      </w:pPr>
      <w:r>
        <w:fldChar w:fldCharType="begin"/>
      </w:r>
      <w:r>
        <w:instrText xml:space="preserve"> HYPERLINK "3.1.2.2" </w:instrText>
      </w:r>
      <w:r>
        <w:fldChar w:fldCharType="separate"/>
      </w:r>
      <w:r>
        <w:rPr>
          <w:rFonts w:ascii="Times New Roman" w:hAnsi="Times New Roman" w:eastAsia="宋体" w:cs="Times New Roman"/>
          <w:color w:val="auto"/>
          <w:szCs w:val="24"/>
        </w:rPr>
        <w:t>3.1.2.2</w:t>
      </w:r>
      <w:r>
        <w:rPr>
          <w:rFonts w:ascii="Times New Roman" w:hAnsi="Times New Roman" w:eastAsia="宋体" w:cs="Times New Roman"/>
          <w:color w:val="auto"/>
          <w:szCs w:val="24"/>
        </w:rPr>
        <w:fldChar w:fldCharType="end"/>
      </w:r>
      <w:r>
        <w:rPr>
          <w:rFonts w:ascii="Times New Roman" w:hAnsi="Times New Roman" w:eastAsia="宋体" w:cs="Times New Roman"/>
          <w:color w:val="auto"/>
          <w:szCs w:val="24"/>
        </w:rPr>
        <w:t>针对本工程发包人特殊要求的技术措施；</w:t>
      </w:r>
    </w:p>
    <w:p w14:paraId="4DE573F0">
      <w:pPr>
        <w:kinsoku/>
        <w:topLinePunct/>
        <w:snapToGrid/>
        <w:spacing w:line="25" w:lineRule="atLeast"/>
        <w:ind w:firstLine="720" w:firstLineChars="300"/>
        <w:rPr>
          <w:rFonts w:ascii="Times New Roman" w:hAnsi="Times New Roman" w:eastAsia="宋体" w:cs="Times New Roman"/>
          <w:color w:val="auto"/>
          <w:szCs w:val="24"/>
        </w:rPr>
      </w:pPr>
      <w:r>
        <w:fldChar w:fldCharType="begin"/>
      </w:r>
      <w:r>
        <w:instrText xml:space="preserve"> HYPERLINK "3.1.2.3" </w:instrText>
      </w:r>
      <w:r>
        <w:fldChar w:fldCharType="separate"/>
      </w:r>
      <w:r>
        <w:rPr>
          <w:rFonts w:ascii="Times New Roman" w:hAnsi="Times New Roman" w:eastAsia="宋体" w:cs="Times New Roman"/>
          <w:color w:val="auto"/>
          <w:szCs w:val="24"/>
        </w:rPr>
        <w:t>3.1.2.3</w:t>
      </w:r>
      <w:r>
        <w:rPr>
          <w:rFonts w:ascii="Times New Roman" w:hAnsi="Times New Roman" w:eastAsia="宋体" w:cs="Times New Roman"/>
          <w:color w:val="auto"/>
          <w:szCs w:val="24"/>
        </w:rPr>
        <w:fldChar w:fldCharType="end"/>
      </w:r>
      <w:r>
        <w:rPr>
          <w:rFonts w:ascii="Times New Roman" w:hAnsi="Times New Roman" w:eastAsia="宋体" w:cs="Times New Roman"/>
          <w:color w:val="auto"/>
          <w:szCs w:val="24"/>
        </w:rPr>
        <w:t>技术响应承诺书(如智能评审)；</w:t>
      </w:r>
    </w:p>
    <w:p w14:paraId="4E99ECA9">
      <w:pPr>
        <w:kinsoku/>
        <w:topLinePunct/>
        <w:snapToGrid/>
        <w:spacing w:line="25" w:lineRule="atLeast"/>
        <w:ind w:firstLine="720" w:firstLineChars="300"/>
        <w:rPr>
          <w:rFonts w:ascii="Times New Roman" w:hAnsi="Times New Roman" w:eastAsia="宋体" w:cs="Times New Roman"/>
          <w:color w:val="auto"/>
          <w:szCs w:val="24"/>
        </w:rPr>
      </w:pPr>
      <w:r>
        <w:fldChar w:fldCharType="begin"/>
      </w:r>
      <w:r>
        <w:instrText xml:space="preserve"> HYPERLINK "3.1.2.3" </w:instrText>
      </w:r>
      <w:r>
        <w:fldChar w:fldCharType="separate"/>
      </w:r>
      <w:r>
        <w:rPr>
          <w:rFonts w:ascii="Times New Roman" w:hAnsi="Times New Roman" w:eastAsia="宋体" w:cs="Times New Roman"/>
          <w:color w:val="auto"/>
          <w:szCs w:val="24"/>
        </w:rPr>
        <w:t>3.1.2.4</w:t>
      </w:r>
      <w:r>
        <w:rPr>
          <w:rFonts w:ascii="Times New Roman" w:hAnsi="Times New Roman" w:eastAsia="宋体" w:cs="Times New Roman"/>
          <w:color w:val="auto"/>
          <w:szCs w:val="24"/>
        </w:rPr>
        <w:fldChar w:fldCharType="end"/>
      </w:r>
      <w:r>
        <w:rPr>
          <w:rFonts w:ascii="Times New Roman" w:hAnsi="Times New Roman" w:eastAsia="宋体" w:cs="Times New Roman"/>
          <w:color w:val="auto"/>
          <w:szCs w:val="24"/>
        </w:rPr>
        <w:t>发包人要求提交的其他资料(详见交易须知前附表)。</w:t>
      </w:r>
    </w:p>
    <w:p w14:paraId="792ECE12">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3.1.3商务标文件主要内容</w:t>
      </w:r>
    </w:p>
    <w:p w14:paraId="256EE924">
      <w:pPr>
        <w:kinsoku/>
        <w:topLinePunct/>
        <w:snapToGrid/>
        <w:spacing w:line="25" w:lineRule="atLeast"/>
        <w:ind w:firstLine="720" w:firstLineChars="300"/>
        <w:rPr>
          <w:rFonts w:ascii="Times New Roman" w:hAnsi="Times New Roman" w:eastAsia="宋体" w:cs="Times New Roman"/>
          <w:color w:val="auto"/>
          <w:szCs w:val="24"/>
        </w:rPr>
      </w:pPr>
      <w:r>
        <w:fldChar w:fldCharType="begin"/>
      </w:r>
      <w:r>
        <w:instrText xml:space="preserve"> HYPERLINK "3.1.4.1" </w:instrText>
      </w:r>
      <w:r>
        <w:fldChar w:fldCharType="separate"/>
      </w:r>
      <w:r>
        <w:rPr>
          <w:rFonts w:ascii="Times New Roman" w:hAnsi="Times New Roman" w:eastAsia="宋体" w:cs="Times New Roman"/>
          <w:color w:val="auto"/>
          <w:szCs w:val="24"/>
        </w:rPr>
        <w:t>3.1.3.1</w:t>
      </w:r>
      <w:r>
        <w:rPr>
          <w:rFonts w:ascii="Times New Roman" w:hAnsi="Times New Roman" w:eastAsia="宋体" w:cs="Times New Roman"/>
          <w:color w:val="auto"/>
          <w:szCs w:val="24"/>
        </w:rPr>
        <w:fldChar w:fldCharType="end"/>
      </w:r>
      <w:r>
        <w:rPr>
          <w:rFonts w:ascii="Times New Roman" w:hAnsi="Times New Roman" w:eastAsia="宋体" w:cs="Times New Roman"/>
          <w:color w:val="auto"/>
          <w:szCs w:val="24"/>
        </w:rPr>
        <w:t>响应函及附录(详见格式)；</w:t>
      </w:r>
    </w:p>
    <w:p w14:paraId="3FAAE408">
      <w:pPr>
        <w:kinsoku/>
        <w:topLinePunct/>
        <w:snapToGrid/>
        <w:spacing w:line="25" w:lineRule="atLeast"/>
        <w:ind w:firstLine="720" w:firstLineChars="300"/>
        <w:rPr>
          <w:rFonts w:ascii="Times New Roman" w:hAnsi="Times New Roman" w:eastAsia="宋体" w:cs="Times New Roman"/>
          <w:color w:val="auto"/>
          <w:szCs w:val="24"/>
        </w:rPr>
      </w:pPr>
      <w:r>
        <w:fldChar w:fldCharType="begin"/>
      </w:r>
      <w:r>
        <w:instrText xml:space="preserve"> HYPERLINK "file:///F:\\维护\\招必得\\日常记录\\2025-10-20\\城投模板\\城投小额工程交易文件示范文本（1017）\\3.1.4.4" </w:instrText>
      </w:r>
      <w:r>
        <w:fldChar w:fldCharType="separate"/>
      </w:r>
      <w:r>
        <w:rPr>
          <w:rFonts w:ascii="Times New Roman" w:hAnsi="Times New Roman" w:eastAsia="宋体" w:cs="Times New Roman"/>
          <w:color w:val="auto"/>
          <w:szCs w:val="24"/>
        </w:rPr>
        <w:t>3.1.3.2</w:t>
      </w:r>
      <w:r>
        <w:rPr>
          <w:rFonts w:ascii="Times New Roman" w:hAnsi="Times New Roman" w:eastAsia="宋体" w:cs="Times New Roman"/>
          <w:color w:val="auto"/>
          <w:szCs w:val="24"/>
        </w:rPr>
        <w:fldChar w:fldCharType="end"/>
      </w:r>
      <w:r>
        <w:rPr>
          <w:rFonts w:hint="eastAsia" w:ascii="Times New Roman" w:hAnsi="Times New Roman" w:eastAsia="宋体" w:cs="Times New Roman"/>
          <w:color w:val="auto"/>
          <w:szCs w:val="24"/>
        </w:rPr>
        <w:t>联合体协议书</w:t>
      </w:r>
      <w:r>
        <w:rPr>
          <w:rFonts w:hint="eastAsia" w:ascii="Times New Roman" w:hAnsi="Times New Roman" w:cs="Times New Roman"/>
          <w:color w:val="auto"/>
          <w:szCs w:val="24"/>
        </w:rPr>
        <w:t>（如有，根据发包人格式要求）；</w:t>
      </w:r>
    </w:p>
    <w:p w14:paraId="11AB0D46">
      <w:pPr>
        <w:kinsoku/>
        <w:topLinePunct/>
        <w:snapToGrid/>
        <w:spacing w:line="25" w:lineRule="atLeast"/>
        <w:ind w:firstLine="720" w:firstLineChars="300"/>
        <w:rPr>
          <w:rFonts w:ascii="Times New Roman" w:hAnsi="Times New Roman" w:eastAsia="宋体" w:cs="Times New Roman"/>
          <w:color w:val="auto"/>
          <w:szCs w:val="24"/>
        </w:rPr>
      </w:pPr>
      <w:r>
        <w:fldChar w:fldCharType="begin"/>
      </w:r>
      <w:r>
        <w:instrText xml:space="preserve"> HYPERLINK "file:///F:\\维护\\招必得\\日常记录\\2025-10-20\\城投模板\\城投小额工程交易文件示范文本（1017）\\3.1.4.4" </w:instrText>
      </w:r>
      <w:r>
        <w:fldChar w:fldCharType="separate"/>
      </w:r>
      <w:r>
        <w:rPr>
          <w:rFonts w:ascii="Times New Roman" w:hAnsi="Times New Roman" w:eastAsia="宋体" w:cs="Times New Roman"/>
          <w:color w:val="auto"/>
          <w:szCs w:val="24"/>
        </w:rPr>
        <w:t>3.1.3.3</w:t>
      </w:r>
      <w:r>
        <w:rPr>
          <w:rFonts w:ascii="Times New Roman" w:hAnsi="Times New Roman" w:eastAsia="宋体" w:cs="Times New Roman"/>
          <w:color w:val="auto"/>
          <w:szCs w:val="24"/>
        </w:rPr>
        <w:fldChar w:fldCharType="end"/>
      </w:r>
      <w:r>
        <w:rPr>
          <w:rFonts w:hint="eastAsia" w:ascii="Times New Roman" w:hAnsi="Times New Roman" w:eastAsia="宋体" w:cs="Times New Roman"/>
          <w:color w:val="auto"/>
          <w:szCs w:val="24"/>
        </w:rPr>
        <w:t>工程量清单报价说明</w:t>
      </w:r>
      <w:r>
        <w:rPr>
          <w:rFonts w:ascii="Times New Roman" w:hAnsi="Times New Roman" w:eastAsia="宋体" w:cs="Times New Roman"/>
          <w:color w:val="auto"/>
          <w:szCs w:val="24"/>
        </w:rPr>
        <w:t>(详见格式)</w:t>
      </w:r>
      <w:r>
        <w:rPr>
          <w:rFonts w:hint="eastAsia" w:ascii="Times New Roman" w:hAnsi="Times New Roman" w:eastAsia="宋体" w:cs="Times New Roman"/>
          <w:color w:val="auto"/>
          <w:szCs w:val="24"/>
        </w:rPr>
        <w:t>；</w:t>
      </w:r>
    </w:p>
    <w:p w14:paraId="4DEE97FE">
      <w:pPr>
        <w:kinsoku/>
        <w:topLinePunct/>
        <w:snapToGrid/>
        <w:spacing w:line="25" w:lineRule="atLeast"/>
        <w:ind w:firstLine="720" w:firstLineChars="300"/>
        <w:rPr>
          <w:rFonts w:ascii="Times New Roman" w:hAnsi="Times New Roman" w:eastAsia="宋体" w:cs="Times New Roman"/>
          <w:color w:val="auto"/>
          <w:szCs w:val="24"/>
        </w:rPr>
      </w:pPr>
      <w:r>
        <w:fldChar w:fldCharType="begin"/>
      </w:r>
      <w:r>
        <w:instrText xml:space="preserve"> HYPERLINK "file:///F:\\维护\\招必得\\日常记录\\2025-10-20\\城投模板\\城投小额工程交易文件示范文本（1017）\\3.1.4.4" </w:instrText>
      </w:r>
      <w:r>
        <w:fldChar w:fldCharType="separate"/>
      </w:r>
      <w:r>
        <w:rPr>
          <w:rFonts w:ascii="Times New Roman" w:hAnsi="Times New Roman" w:eastAsia="宋体" w:cs="Times New Roman"/>
          <w:color w:val="auto"/>
          <w:szCs w:val="24"/>
        </w:rPr>
        <w:t>3.1.3.</w:t>
      </w:r>
      <w:r>
        <w:rPr>
          <w:rFonts w:hint="eastAsia" w:ascii="Times New Roman" w:hAnsi="Times New Roman" w:eastAsia="宋体" w:cs="Times New Roman"/>
          <w:color w:val="auto"/>
          <w:szCs w:val="24"/>
        </w:rPr>
        <w:t>4</w:t>
      </w:r>
      <w:r>
        <w:rPr>
          <w:rFonts w:hint="eastAsia" w:ascii="Times New Roman" w:hAnsi="Times New Roman" w:eastAsia="宋体" w:cs="Times New Roman"/>
          <w:color w:val="auto"/>
          <w:szCs w:val="24"/>
        </w:rPr>
        <w:fldChar w:fldCharType="end"/>
      </w:r>
      <w:r>
        <w:rPr>
          <w:rFonts w:hint="eastAsia" w:ascii="Times New Roman" w:hAnsi="Times New Roman" w:eastAsia="宋体" w:cs="Times New Roman"/>
          <w:color w:val="auto"/>
          <w:szCs w:val="24"/>
        </w:rPr>
        <w:t>已标价工程量清单；</w:t>
      </w:r>
    </w:p>
    <w:p w14:paraId="48526190">
      <w:pPr>
        <w:kinsoku/>
        <w:topLinePunct/>
        <w:snapToGrid/>
        <w:spacing w:line="25" w:lineRule="atLeast"/>
        <w:ind w:firstLine="720" w:firstLineChars="300"/>
        <w:rPr>
          <w:rFonts w:ascii="Times New Roman" w:hAnsi="Times New Roman" w:eastAsia="宋体" w:cs="Times New Roman"/>
          <w:color w:val="auto"/>
          <w:szCs w:val="24"/>
        </w:rPr>
      </w:pPr>
      <w:r>
        <w:fldChar w:fldCharType="begin"/>
      </w:r>
      <w:r>
        <w:instrText xml:space="preserve"> HYPERLINK "file:///F:\\维护\\招必得\\日常记录\\2025-10-20\\城投模板\\城投小额工程交易文件示范文本（1017）\\3.1.4.4" </w:instrText>
      </w:r>
      <w:r>
        <w:fldChar w:fldCharType="separate"/>
      </w:r>
      <w:r>
        <w:rPr>
          <w:rFonts w:ascii="Times New Roman" w:hAnsi="Times New Roman" w:eastAsia="宋体" w:cs="Times New Roman"/>
          <w:color w:val="auto"/>
          <w:szCs w:val="24"/>
        </w:rPr>
        <w:t>3.1.3.</w:t>
      </w:r>
      <w:r>
        <w:rPr>
          <w:rFonts w:hint="eastAsia" w:ascii="Times New Roman" w:hAnsi="Times New Roman" w:eastAsia="宋体" w:cs="Times New Roman"/>
          <w:color w:val="auto"/>
          <w:szCs w:val="24"/>
        </w:rPr>
        <w:t>5</w:t>
      </w:r>
      <w:r>
        <w:rPr>
          <w:rFonts w:hint="eastAsia" w:ascii="Times New Roman" w:hAnsi="Times New Roman" w:eastAsia="宋体" w:cs="Times New Roman"/>
          <w:color w:val="auto"/>
          <w:szCs w:val="24"/>
        </w:rPr>
        <w:fldChar w:fldCharType="end"/>
      </w:r>
      <w:r>
        <w:rPr>
          <w:rFonts w:ascii="Times New Roman" w:hAnsi="Times New Roman" w:eastAsia="宋体" w:cs="Times New Roman"/>
          <w:color w:val="auto"/>
          <w:szCs w:val="24"/>
        </w:rPr>
        <w:t>拟分包项目名称和分包商情况(</w:t>
      </w:r>
      <w:r>
        <w:rPr>
          <w:rFonts w:hint="eastAsia" w:ascii="Times New Roman" w:hAnsi="Times New Roman" w:eastAsia="宋体" w:cs="Times New Roman"/>
          <w:color w:val="auto"/>
          <w:szCs w:val="24"/>
        </w:rPr>
        <w:t>如有）；</w:t>
      </w:r>
    </w:p>
    <w:p w14:paraId="08635A9B">
      <w:pPr>
        <w:kinsoku/>
        <w:topLinePunct/>
        <w:snapToGrid/>
        <w:spacing w:line="25" w:lineRule="atLeast"/>
        <w:ind w:firstLine="720" w:firstLineChars="300"/>
        <w:rPr>
          <w:rFonts w:ascii="Times New Roman" w:hAnsi="Times New Roman" w:eastAsia="宋体" w:cs="Times New Roman"/>
          <w:color w:val="auto"/>
          <w:szCs w:val="24"/>
        </w:rPr>
      </w:pPr>
      <w:r>
        <w:fldChar w:fldCharType="begin"/>
      </w:r>
      <w:r>
        <w:instrText xml:space="preserve"> HYPERLINK "file:///F:\\维护\\招必得\\日常记录\\2025-10-20\\城投模板\\城投小额工程交易文件示范文本（1017）\\3.1.4.4" </w:instrText>
      </w:r>
      <w:r>
        <w:fldChar w:fldCharType="separate"/>
      </w:r>
      <w:r>
        <w:rPr>
          <w:rFonts w:ascii="Times New Roman" w:hAnsi="Times New Roman" w:eastAsia="宋体" w:cs="Times New Roman"/>
          <w:color w:val="auto"/>
          <w:szCs w:val="24"/>
        </w:rPr>
        <w:t>3.1.3.</w:t>
      </w:r>
      <w:r>
        <w:rPr>
          <w:rFonts w:hint="eastAsia" w:ascii="Times New Roman" w:hAnsi="Times New Roman" w:eastAsia="宋体" w:cs="Times New Roman"/>
          <w:color w:val="auto"/>
          <w:szCs w:val="24"/>
        </w:rPr>
        <w:t>6</w:t>
      </w:r>
      <w:r>
        <w:rPr>
          <w:rFonts w:hint="eastAsia" w:ascii="Times New Roman" w:hAnsi="Times New Roman" w:eastAsia="宋体" w:cs="Times New Roman"/>
          <w:color w:val="auto"/>
          <w:szCs w:val="24"/>
        </w:rPr>
        <w:fldChar w:fldCharType="end"/>
      </w:r>
      <w:r>
        <w:rPr>
          <w:rFonts w:hint="eastAsia" w:ascii="Times New Roman" w:hAnsi="Times New Roman" w:eastAsia="宋体" w:cs="Times New Roman"/>
          <w:color w:val="auto"/>
          <w:szCs w:val="24"/>
        </w:rPr>
        <w:t>发包人要求提交的其他资料(详见交易须知前附表)</w:t>
      </w:r>
      <w:r>
        <w:rPr>
          <w:rFonts w:ascii="Times New Roman" w:hAnsi="Times New Roman" w:eastAsia="宋体" w:cs="Times New Roman"/>
          <w:color w:val="auto"/>
          <w:szCs w:val="24"/>
        </w:rPr>
        <w:t>。</w:t>
      </w:r>
    </w:p>
    <w:p w14:paraId="777892F3">
      <w:pPr>
        <w:pStyle w:val="5"/>
        <w:kinsoku/>
        <w:topLinePunct/>
        <w:spacing w:line="25" w:lineRule="atLeast"/>
        <w:ind w:left="1102"/>
        <w:rPr>
          <w:rFonts w:ascii="Times New Roman" w:hAnsi="Times New Roman" w:cs="Times New Roman"/>
          <w:color w:val="auto"/>
          <w:lang w:val="en-US"/>
        </w:rPr>
      </w:pPr>
      <w:r>
        <w:rPr>
          <w:rFonts w:ascii="Times New Roman" w:hAnsi="Times New Roman" w:cs="Times New Roman"/>
          <w:color w:val="auto"/>
        </w:rPr>
        <w:t>3.</w:t>
      </w:r>
      <w:r>
        <w:rPr>
          <w:rFonts w:ascii="Times New Roman" w:hAnsi="Times New Roman" w:cs="Times New Roman"/>
          <w:color w:val="auto"/>
          <w:lang w:val="en-US"/>
        </w:rPr>
        <w:t>2</w:t>
      </w:r>
      <w:r>
        <w:rPr>
          <w:rFonts w:ascii="Times New Roman" w:hAnsi="Times New Roman" w:cs="Times New Roman"/>
          <w:color w:val="auto"/>
        </w:rPr>
        <w:t xml:space="preserve"> 响应报价</w:t>
      </w:r>
    </w:p>
    <w:p w14:paraId="1013B680">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3.2.1潜在承包人应按照“响应文件格式”的要求填写报价文件。</w:t>
      </w:r>
    </w:p>
    <w:p w14:paraId="578D67C6">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3.2.2潜在承包人在响应截止时间前修改响应函中的报价的，此修改须符合本章第3.8款的有关要求。</w:t>
      </w:r>
    </w:p>
    <w:p w14:paraId="6FF32D81">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3.2.3报价要求见交易须知前附表，发包人设有最高限价的，潜在承包人的报价不得超过最高限价。</w:t>
      </w:r>
    </w:p>
    <w:p w14:paraId="4B253245">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3.2.4潜在承包人的报价应包括潜在承包人完成本项目所有工作量和相关配合工作及服务的全部费用，包括国家规定的增值税税金。</w:t>
      </w:r>
    </w:p>
    <w:p w14:paraId="4B1A5D96">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3.</w:t>
      </w:r>
      <w:r>
        <w:rPr>
          <w:rFonts w:ascii="Times New Roman" w:hAnsi="Times New Roman" w:cs="Times New Roman"/>
          <w:color w:val="auto"/>
          <w:lang w:val="en-US"/>
        </w:rPr>
        <w:t>3</w:t>
      </w:r>
      <w:r>
        <w:rPr>
          <w:rFonts w:ascii="Times New Roman" w:hAnsi="Times New Roman" w:cs="Times New Roman"/>
          <w:color w:val="auto"/>
        </w:rPr>
        <w:t xml:space="preserve"> 响应文件有效期</w:t>
      </w:r>
    </w:p>
    <w:p w14:paraId="103F9E08">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3.3.1 响应文件有效期为从提交响应文件的截止之日起90天，在响应文件有效期内，潜在承包人不得要求撤销或修改其响应文件。</w:t>
      </w:r>
    </w:p>
    <w:p w14:paraId="574005A6">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3.3.2 在响应文件有效期内，潜在承包人撤销响应文件的，应承担交易文件和法律规定的责任。</w:t>
      </w:r>
    </w:p>
    <w:p w14:paraId="6944F065">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3.3.3 出现特殊情况需要延长响应文件有效期的，发包人以书面形式 (或电子交易平台)通知所有潜在承包人延长响应文件有效期。潜在承包人应予以书面答复，同意延长的，应相应延长其交易担保的有效期，但不得要求或被允许修改其响应文件；潜在承包人拒绝延长的，其响应文件失效。</w:t>
      </w:r>
    </w:p>
    <w:p w14:paraId="222527EE">
      <w:pPr>
        <w:pStyle w:val="5"/>
        <w:kinsoku/>
        <w:topLinePunct/>
        <w:spacing w:line="25" w:lineRule="atLeast"/>
        <w:ind w:left="1102"/>
        <w:rPr>
          <w:rFonts w:ascii="Times New Roman" w:hAnsi="Times New Roman" w:cs="Times New Roman"/>
          <w:b w:val="0"/>
          <w:bCs w:val="0"/>
          <w:color w:val="auto"/>
          <w:szCs w:val="24"/>
        </w:rPr>
      </w:pPr>
      <w:r>
        <w:rPr>
          <w:rFonts w:ascii="Times New Roman" w:hAnsi="Times New Roman" w:cs="Times New Roman"/>
          <w:color w:val="auto"/>
        </w:rPr>
        <w:t>3.</w:t>
      </w:r>
      <w:r>
        <w:rPr>
          <w:rFonts w:ascii="Times New Roman" w:hAnsi="Times New Roman" w:cs="Times New Roman"/>
          <w:color w:val="auto"/>
          <w:lang w:val="en-US"/>
        </w:rPr>
        <w:t>4</w:t>
      </w:r>
      <w:r>
        <w:rPr>
          <w:rFonts w:ascii="Times New Roman" w:hAnsi="Times New Roman" w:cs="Times New Roman"/>
          <w:color w:val="auto"/>
        </w:rPr>
        <w:t xml:space="preserve"> 交易担保</w:t>
      </w:r>
    </w:p>
    <w:p w14:paraId="620D1F11">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见交易须知前附表。</w:t>
      </w:r>
    </w:p>
    <w:p w14:paraId="0F4C4958">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lang w:val="en-US"/>
        </w:rPr>
        <w:t xml:space="preserve">3.5 </w:t>
      </w:r>
      <w:r>
        <w:rPr>
          <w:rFonts w:ascii="Times New Roman" w:hAnsi="Times New Roman" w:cs="Times New Roman"/>
          <w:color w:val="auto"/>
        </w:rPr>
        <w:t>响应文件的编制</w:t>
      </w:r>
    </w:p>
    <w:p w14:paraId="11F8249C">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3.5.1响应文件应按“响应文件格式”进行编写，如有必要，可以增加附页，作为响应文件的组成部分。</w:t>
      </w:r>
    </w:p>
    <w:p w14:paraId="6D73DC0F">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3.5.2 响应文件应当对交易文件有关潜在承包人资格要求、工期(服务期限) 、响应文件有效期、发包范围、报价、质量等实质性内容做出响应。</w:t>
      </w:r>
    </w:p>
    <w:p w14:paraId="1BA9B676">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3.5.3 电子响应文件的要求</w:t>
      </w:r>
    </w:p>
    <w:p w14:paraId="1527A3C7">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(1)响应文件格式文件要求单位盖章、法定代表人印章的地方，潜在承包人均应使用CA 数字证书加盖单位电子印章、法定代表人个人电子印章。</w:t>
      </w:r>
    </w:p>
    <w:p w14:paraId="03770FC8">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(2)电子响应文件制作要求见交易须知前附表。</w:t>
      </w:r>
    </w:p>
    <w:p w14:paraId="2785BF8D">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(3)响应文件所附证书证件、业绩证明文件等证明材料用原件扫描件并加盖单位电子公章。</w:t>
      </w:r>
    </w:p>
    <w:p w14:paraId="1BA3CC59">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3.5.4 响应文件格式</w:t>
      </w:r>
    </w:p>
    <w:p w14:paraId="71E22F9C">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响应文件包括本须知第3.1条中规定的内容，潜在承包人提交的响应文件必须毫无例外地使用交易文件所提供的响应文件全部格式(表格可以按同样格式扩展)。</w:t>
      </w:r>
    </w:p>
    <w:p w14:paraId="17860453">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lang w:val="en-US"/>
        </w:rPr>
        <w:t>3</w:t>
      </w:r>
      <w:r>
        <w:rPr>
          <w:rFonts w:ascii="Times New Roman" w:hAnsi="Times New Roman" w:cs="Times New Roman"/>
          <w:color w:val="auto"/>
        </w:rPr>
        <w:t>.</w:t>
      </w:r>
      <w:r>
        <w:rPr>
          <w:rFonts w:ascii="Times New Roman" w:hAnsi="Times New Roman" w:cs="Times New Roman"/>
          <w:color w:val="auto"/>
          <w:lang w:val="en-US"/>
        </w:rPr>
        <w:t>6</w:t>
      </w:r>
      <w:r>
        <w:rPr>
          <w:rFonts w:ascii="Times New Roman" w:hAnsi="Times New Roman" w:cs="Times New Roman"/>
          <w:color w:val="auto"/>
        </w:rPr>
        <w:t xml:space="preserve"> 响应文件的密封和标记</w:t>
      </w:r>
    </w:p>
    <w:p w14:paraId="17FCD072">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使用交易须知前附表公布的工具软件编制生成的电子响应文件，后缀名为“.加密投标书”。</w:t>
      </w:r>
    </w:p>
    <w:p w14:paraId="29E8C04C">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lang w:val="en-US"/>
        </w:rPr>
        <w:t>3</w:t>
      </w:r>
      <w:r>
        <w:rPr>
          <w:rFonts w:ascii="Times New Roman" w:hAnsi="Times New Roman" w:cs="Times New Roman"/>
          <w:color w:val="auto"/>
        </w:rPr>
        <w:t>.</w:t>
      </w:r>
      <w:r>
        <w:rPr>
          <w:rFonts w:ascii="Times New Roman" w:hAnsi="Times New Roman" w:cs="Times New Roman"/>
          <w:color w:val="auto"/>
          <w:lang w:val="en-US"/>
        </w:rPr>
        <w:t>7</w:t>
      </w:r>
      <w:r>
        <w:rPr>
          <w:rFonts w:ascii="Times New Roman" w:hAnsi="Times New Roman" w:cs="Times New Roman"/>
          <w:color w:val="auto"/>
        </w:rPr>
        <w:t xml:space="preserve"> 响应文件的递交</w:t>
      </w:r>
    </w:p>
    <w:p w14:paraId="188AF7A6">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3.7.1潜在承包人应在交易公告规定的响应截止时间前递交响应文件。</w:t>
      </w:r>
    </w:p>
    <w:p w14:paraId="0C794C5B">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3.7.2潜在承包人通过电子交易平台使用CA数字证书递交电子响应文件。</w:t>
      </w:r>
    </w:p>
    <w:p w14:paraId="4075BF7A">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3.7.3 潜在承包人所递交的电子响应文件不予退还。</w:t>
      </w:r>
    </w:p>
    <w:p w14:paraId="0C5CA313">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3.7.4 潜在承包人完成电子响应文件上传后，电子交易平台即时向潜在承包人发出递交回执通知。递交时间以递交回执通知载明的传输完成时间为准。</w:t>
      </w:r>
    </w:p>
    <w:p w14:paraId="60871D2B">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3.7.5 电子响应文件的拒收情形：</w:t>
      </w:r>
    </w:p>
    <w:p w14:paraId="36C96FA6">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(1)响应截止时间后送达 (上传) 的响应文件、未按交易文件规定递交(上传)的。</w:t>
      </w:r>
    </w:p>
    <w:p w14:paraId="00CDB239">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(2)潜在承包人未按规定加密的。</w:t>
      </w:r>
    </w:p>
    <w:p w14:paraId="718B2402">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(3)电子响应文件无法解密或解密后无法正确读取的，或无法导入成功的。</w:t>
      </w:r>
    </w:p>
    <w:p w14:paraId="17AA264C">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lang w:val="en-US"/>
        </w:rPr>
        <w:t>3</w:t>
      </w:r>
      <w:r>
        <w:rPr>
          <w:rFonts w:ascii="Times New Roman" w:hAnsi="Times New Roman" w:cs="Times New Roman"/>
          <w:color w:val="auto"/>
        </w:rPr>
        <w:t>.</w:t>
      </w:r>
      <w:r>
        <w:rPr>
          <w:rFonts w:ascii="Times New Roman" w:hAnsi="Times New Roman" w:cs="Times New Roman"/>
          <w:color w:val="auto"/>
          <w:lang w:val="en-US"/>
        </w:rPr>
        <w:t>8</w:t>
      </w:r>
      <w:r>
        <w:rPr>
          <w:rFonts w:ascii="Times New Roman" w:hAnsi="Times New Roman" w:cs="Times New Roman"/>
          <w:color w:val="auto"/>
        </w:rPr>
        <w:t xml:space="preserve"> 响应文件的</w:t>
      </w:r>
      <w:r>
        <w:rPr>
          <w:rFonts w:ascii="Times New Roman" w:hAnsi="Times New Roman" w:cs="Times New Roman"/>
          <w:color w:val="auto"/>
          <w:lang w:val="en-US"/>
        </w:rPr>
        <w:t>补充、</w:t>
      </w:r>
      <w:r>
        <w:rPr>
          <w:rFonts w:ascii="Times New Roman" w:hAnsi="Times New Roman" w:cs="Times New Roman"/>
          <w:color w:val="auto"/>
        </w:rPr>
        <w:t>修改与撤回</w:t>
      </w:r>
    </w:p>
    <w:p w14:paraId="6D05C22D">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3.8.1 在交易公告规定的响应截止时间前，潜在承包人可以补充、修改或撤回已递交的电子响应文件。补充或者修改响应文件的，应当先行撤回原文件，补充、修改后重新传输递交。响应截止时间前未完成电子响应文件传输的，视为撤回响应文件。响应文件递交(上传)截止时间后递交的响应文件，电子交易平台将拒收。</w:t>
      </w:r>
    </w:p>
    <w:p w14:paraId="1B889BC5">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3.8.2 电子交易平台收到响应文件，将妥善保存并即时向潜在承包人发出确认回执通知。在响应文件递交(上传)截止时间前，除潜在承包人补充、修改或者撤回响应文件外，任何单位和个人不得解密或提取响应文件。</w:t>
      </w:r>
    </w:p>
    <w:p w14:paraId="12D49325">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3.8.3 发包人、代理机构可以视情况延长响应文件提交的截止时间。在上述情况下，代理机构与潜在承包人以前在响应文件提交截止时间方面的全部权利、责任和义务，将适用于延长至新的响应文件提交截止时间。</w:t>
      </w:r>
    </w:p>
    <w:p w14:paraId="26177F37">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lang w:val="en-US"/>
        </w:rPr>
        <w:t>3</w:t>
      </w:r>
      <w:r>
        <w:rPr>
          <w:rFonts w:ascii="Times New Roman" w:hAnsi="Times New Roman" w:cs="Times New Roman"/>
          <w:color w:val="auto"/>
        </w:rPr>
        <w:t>.</w:t>
      </w:r>
      <w:r>
        <w:rPr>
          <w:rFonts w:ascii="Times New Roman" w:hAnsi="Times New Roman" w:cs="Times New Roman"/>
          <w:color w:val="auto"/>
          <w:lang w:val="en-US"/>
        </w:rPr>
        <w:t>9</w:t>
      </w:r>
      <w:r>
        <w:rPr>
          <w:rFonts w:ascii="Times New Roman" w:hAnsi="Times New Roman" w:cs="Times New Roman"/>
          <w:color w:val="auto"/>
        </w:rPr>
        <w:t xml:space="preserve"> 响应文件的无效处理</w:t>
      </w:r>
    </w:p>
    <w:p w14:paraId="43E43E4B">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有交易须知前附表规定的情形之一的，由发包人或组建的评审小组审核，其响应文件将被否决。</w:t>
      </w:r>
    </w:p>
    <w:p w14:paraId="7B3298F9">
      <w:pPr>
        <w:pStyle w:val="4"/>
        <w:kinsoku/>
        <w:topLinePunct/>
        <w:spacing w:line="25" w:lineRule="atLeast"/>
        <w:rPr>
          <w:rFonts w:ascii="Times New Roman" w:hAnsi="Times New Roman"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4.开启响应文件</w:t>
      </w:r>
    </w:p>
    <w:p w14:paraId="60037D29">
      <w:pPr>
        <w:pStyle w:val="5"/>
        <w:kinsoku/>
        <w:topLinePunct/>
        <w:spacing w:line="25" w:lineRule="atLeast"/>
        <w:ind w:left="1102"/>
        <w:rPr>
          <w:rFonts w:ascii="Times New Roman" w:hAnsi="Times New Roman" w:cs="Times New Roman"/>
          <w:color w:val="auto"/>
          <w:lang w:val="en-US"/>
        </w:rPr>
      </w:pPr>
      <w:r>
        <w:rPr>
          <w:rFonts w:ascii="Times New Roman" w:hAnsi="Times New Roman" w:cs="Times New Roman"/>
          <w:color w:val="auto"/>
          <w:lang w:val="en-US"/>
        </w:rPr>
        <w:t xml:space="preserve">4.1 </w:t>
      </w:r>
      <w:r>
        <w:rPr>
          <w:rFonts w:ascii="Times New Roman" w:hAnsi="Times New Roman" w:cs="Times New Roman"/>
          <w:color w:val="auto"/>
        </w:rPr>
        <w:t>开启</w:t>
      </w:r>
      <w:r>
        <w:rPr>
          <w:rFonts w:ascii="Times New Roman" w:hAnsi="Times New Roman" w:cs="Times New Roman"/>
          <w:color w:val="auto"/>
          <w:lang w:val="en-US"/>
        </w:rPr>
        <w:t>程序</w:t>
      </w:r>
    </w:p>
    <w:p w14:paraId="56479F50">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4.1.1至交易公告的响应文件开启时间和地点，发包人代表或代理机构工作人员登录电子交易系统点击开启，统一对上传的电子加密响应文件进行解密。</w:t>
      </w:r>
    </w:p>
    <w:p w14:paraId="7E500327">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4.1.2响应文件解密完成并导入系统后，潜在承包人的相关响应文件内容生成标录。</w:t>
      </w:r>
    </w:p>
    <w:p w14:paraId="387FDF86">
      <w:pPr>
        <w:pStyle w:val="5"/>
        <w:kinsoku/>
        <w:topLinePunct/>
        <w:spacing w:line="25" w:lineRule="atLeast"/>
        <w:ind w:left="1102"/>
        <w:rPr>
          <w:rFonts w:ascii="Times New Roman" w:hAnsi="Times New Roman" w:cs="Times New Roman"/>
          <w:color w:val="auto"/>
          <w:lang w:val="en-US"/>
        </w:rPr>
      </w:pPr>
      <w:r>
        <w:rPr>
          <w:rFonts w:ascii="Times New Roman" w:hAnsi="Times New Roman" w:cs="Times New Roman"/>
          <w:color w:val="auto"/>
          <w:lang w:val="en-US"/>
        </w:rPr>
        <w:t>4</w:t>
      </w:r>
      <w:r>
        <w:rPr>
          <w:rFonts w:ascii="Times New Roman" w:hAnsi="Times New Roman" w:cs="Times New Roman"/>
          <w:color w:val="auto"/>
        </w:rPr>
        <w:t>.</w:t>
      </w:r>
      <w:r>
        <w:rPr>
          <w:rFonts w:ascii="Times New Roman" w:hAnsi="Times New Roman" w:cs="Times New Roman"/>
          <w:color w:val="auto"/>
          <w:lang w:val="en-US"/>
        </w:rPr>
        <w:t>2 特殊情况处置</w:t>
      </w:r>
    </w:p>
    <w:p w14:paraId="75A513C0">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因网络、系统、电力等不可抗力因素延期开启的，如间隔时间需超1日的，发包人应及时发布延期公告，潜在承包人需更新制作响应文件并按交易文件要求重新递交。</w:t>
      </w:r>
    </w:p>
    <w:p w14:paraId="1601BF01">
      <w:pPr>
        <w:pStyle w:val="5"/>
        <w:kinsoku/>
        <w:topLinePunct/>
        <w:spacing w:line="25" w:lineRule="atLeast"/>
        <w:ind w:left="1102"/>
        <w:rPr>
          <w:rFonts w:ascii="Times New Roman" w:hAnsi="Times New Roman" w:cs="Times New Roman"/>
          <w:color w:val="auto"/>
          <w:lang w:val="en-US"/>
        </w:rPr>
      </w:pPr>
      <w:r>
        <w:rPr>
          <w:rFonts w:ascii="Times New Roman" w:hAnsi="Times New Roman" w:cs="Times New Roman"/>
          <w:color w:val="auto"/>
          <w:lang w:val="en-US"/>
        </w:rPr>
        <w:t>4.3 信用信息查询</w:t>
      </w:r>
    </w:p>
    <w:p w14:paraId="5E93678A">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4.3.1信用信息查询渠道及截止时间：发包人或代理机构将在符合性审查</w:t>
      </w:r>
      <w:r>
        <w:rPr>
          <w:rFonts w:hint="eastAsia" w:ascii="Times New Roman" w:hAnsi="Times New Roman" w:eastAsia="宋体" w:cs="Times New Roman"/>
          <w:color w:val="auto"/>
          <w:szCs w:val="24"/>
        </w:rPr>
        <w:t>、成交结果确认</w:t>
      </w:r>
      <w:r>
        <w:rPr>
          <w:rFonts w:ascii="Times New Roman" w:hAnsi="Times New Roman" w:eastAsia="宋体" w:cs="Times New Roman"/>
          <w:color w:val="auto"/>
          <w:szCs w:val="24"/>
        </w:rPr>
        <w:t>时通过交易文件前附表指定的渠道查询潜在承包人的信用记录。</w:t>
      </w:r>
    </w:p>
    <w:p w14:paraId="1873CE05">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4.3.2信用信息查询记录和证据留存的具体方式：潜在承包人的信用记录、查询结果经确认后将与交易文件一起存档。</w:t>
      </w:r>
    </w:p>
    <w:p w14:paraId="25287D72">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4.3.3信用信息的使用规则：经查询列入失信被执行人名单、重大税收违法案件当事人名单、严重失信黑名单的潜在承包人将取消成交人资格。</w:t>
      </w:r>
    </w:p>
    <w:p w14:paraId="5337C242">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4.3.4联合体信用信息查询：两个以上的自然人、法人或者其他组织组成一个联合体，以一个潜在承包人的身份共同参加本次交易活动的，应当对所有联合体成员进行信用记录查询，联合体成员存在不良信用记录的，视同联合体存在不良信用记录。</w:t>
      </w:r>
    </w:p>
    <w:p w14:paraId="3E068B60">
      <w:pPr>
        <w:pStyle w:val="4"/>
        <w:kinsoku/>
        <w:topLinePunct/>
        <w:autoSpaceDE/>
        <w:autoSpaceDN/>
        <w:spacing w:line="25" w:lineRule="atLeast"/>
        <w:rPr>
          <w:rFonts w:ascii="Times New Roman" w:hAnsi="Times New Roman"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5.评审</w:t>
      </w:r>
    </w:p>
    <w:p w14:paraId="0E0E4F42">
      <w:pPr>
        <w:pStyle w:val="5"/>
        <w:kinsoku/>
        <w:topLinePunct/>
        <w:autoSpaceDE/>
        <w:autoSpaceDN/>
        <w:spacing w:line="25" w:lineRule="atLeast"/>
        <w:ind w:left="1102"/>
        <w:rPr>
          <w:rFonts w:ascii="Times New Roman" w:hAnsi="Times New Roman" w:cs="Times New Roman"/>
          <w:color w:val="auto"/>
        </w:rPr>
      </w:pPr>
      <w:r>
        <w:rPr>
          <w:rFonts w:ascii="Times New Roman" w:hAnsi="Times New Roman" w:cs="Times New Roman"/>
          <w:color w:val="auto"/>
          <w:lang w:val="en-US"/>
        </w:rPr>
        <w:t>5</w:t>
      </w:r>
      <w:r>
        <w:rPr>
          <w:rFonts w:ascii="Times New Roman" w:hAnsi="Times New Roman" w:cs="Times New Roman"/>
          <w:color w:val="auto"/>
        </w:rPr>
        <w:t>.1</w:t>
      </w:r>
      <w:r>
        <w:rPr>
          <w:rFonts w:ascii="Times New Roman" w:hAnsi="Times New Roman" w:cs="Times New Roman"/>
          <w:color w:val="auto"/>
          <w:lang w:val="en-US"/>
        </w:rPr>
        <w:t xml:space="preserve"> </w:t>
      </w:r>
      <w:r>
        <w:rPr>
          <w:rFonts w:ascii="Times New Roman" w:hAnsi="Times New Roman" w:cs="Times New Roman"/>
          <w:color w:val="auto"/>
        </w:rPr>
        <w:t>评审小组</w:t>
      </w:r>
    </w:p>
    <w:p w14:paraId="3E740912">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5.1.1采用最低价法、合理低价法的项目，在响应文件开启阶段由系统智能辅助评审，由发包人负责符合性审查。</w:t>
      </w:r>
    </w:p>
    <w:p w14:paraId="37ADB6C6">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5.1.2采用综合评估法的项目评审小组的组成见交易文件须知前附表。</w:t>
      </w:r>
    </w:p>
    <w:p w14:paraId="62F9EE79">
      <w:pPr>
        <w:pStyle w:val="5"/>
        <w:kinsoku/>
        <w:topLinePunct/>
        <w:autoSpaceDE/>
        <w:autoSpaceDN/>
        <w:spacing w:line="25" w:lineRule="atLeast"/>
        <w:ind w:left="1102"/>
        <w:rPr>
          <w:rFonts w:ascii="Times New Roman" w:hAnsi="Times New Roman" w:cs="Times New Roman"/>
          <w:color w:val="auto"/>
        </w:rPr>
      </w:pPr>
      <w:r>
        <w:rPr>
          <w:rFonts w:ascii="Times New Roman" w:hAnsi="Times New Roman" w:cs="Times New Roman"/>
          <w:color w:val="auto"/>
          <w:lang w:val="en-US"/>
        </w:rPr>
        <w:t>5</w:t>
      </w:r>
      <w:r>
        <w:rPr>
          <w:rFonts w:ascii="Times New Roman" w:hAnsi="Times New Roman" w:cs="Times New Roman"/>
          <w:color w:val="auto"/>
        </w:rPr>
        <w:t>.2</w:t>
      </w:r>
      <w:r>
        <w:rPr>
          <w:rFonts w:ascii="Times New Roman" w:hAnsi="Times New Roman" w:cs="Times New Roman"/>
          <w:color w:val="auto"/>
          <w:lang w:val="en-US"/>
        </w:rPr>
        <w:t xml:space="preserve"> </w:t>
      </w:r>
      <w:r>
        <w:rPr>
          <w:rFonts w:ascii="Times New Roman" w:hAnsi="Times New Roman" w:cs="Times New Roman"/>
          <w:color w:val="auto"/>
        </w:rPr>
        <w:t>评审原则</w:t>
      </w:r>
    </w:p>
    <w:p w14:paraId="77264BAB">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评审活动遵循公平、公正、科学和择优的原则。</w:t>
      </w:r>
    </w:p>
    <w:p w14:paraId="183CE152">
      <w:pPr>
        <w:pStyle w:val="5"/>
        <w:kinsoku/>
        <w:topLinePunct/>
        <w:autoSpaceDE/>
        <w:autoSpaceDN/>
        <w:spacing w:line="25" w:lineRule="atLeast"/>
        <w:ind w:left="1102"/>
        <w:rPr>
          <w:rFonts w:ascii="Times New Roman" w:hAnsi="Times New Roman" w:cs="Times New Roman"/>
          <w:color w:val="auto"/>
          <w:lang w:val="en-US"/>
        </w:rPr>
      </w:pPr>
      <w:r>
        <w:rPr>
          <w:rFonts w:ascii="Times New Roman" w:hAnsi="Times New Roman" w:cs="Times New Roman"/>
          <w:color w:val="auto"/>
          <w:lang w:val="en-US"/>
        </w:rPr>
        <w:t>5</w:t>
      </w:r>
      <w:r>
        <w:rPr>
          <w:rFonts w:ascii="Times New Roman" w:hAnsi="Times New Roman" w:cs="Times New Roman"/>
          <w:color w:val="auto"/>
        </w:rPr>
        <w:t>.3</w:t>
      </w:r>
      <w:r>
        <w:rPr>
          <w:rFonts w:ascii="Times New Roman" w:hAnsi="Times New Roman" w:cs="Times New Roman"/>
          <w:color w:val="auto"/>
          <w:lang w:val="en-US"/>
        </w:rPr>
        <w:t xml:space="preserve"> 评审办法</w:t>
      </w:r>
    </w:p>
    <w:p w14:paraId="351FB907">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详见第三章评审办法</w:t>
      </w:r>
    </w:p>
    <w:p w14:paraId="29E55CD7">
      <w:pPr>
        <w:pStyle w:val="5"/>
        <w:kinsoku/>
        <w:topLinePunct/>
        <w:autoSpaceDE/>
        <w:autoSpaceDN/>
        <w:spacing w:line="25" w:lineRule="atLeast"/>
        <w:ind w:left="1102"/>
        <w:rPr>
          <w:rFonts w:ascii="Times New Roman" w:hAnsi="Times New Roman" w:cs="Times New Roman"/>
          <w:color w:val="auto"/>
          <w:lang w:val="en-US"/>
        </w:rPr>
      </w:pPr>
      <w:r>
        <w:rPr>
          <w:rFonts w:ascii="Times New Roman" w:hAnsi="Times New Roman" w:cs="Times New Roman"/>
          <w:color w:val="auto"/>
          <w:lang w:val="en-US"/>
        </w:rPr>
        <w:t xml:space="preserve">5.4 </w:t>
      </w:r>
      <w:r>
        <w:rPr>
          <w:rFonts w:ascii="Times New Roman" w:hAnsi="Times New Roman" w:cs="Times New Roman"/>
          <w:color w:val="auto"/>
        </w:rPr>
        <w:t>评审</w:t>
      </w:r>
      <w:r>
        <w:rPr>
          <w:rFonts w:ascii="Times New Roman" w:hAnsi="Times New Roman" w:cs="Times New Roman"/>
          <w:color w:val="auto"/>
          <w:lang w:val="en-US"/>
        </w:rPr>
        <w:t>要求</w:t>
      </w:r>
    </w:p>
    <w:p w14:paraId="2E352925">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5.4.1发包人或评审小组按照“第三章评审办法”规定的方法、评审因素、标准和程序对响应文件进行评审。“评审办法”没有规定的方法、评审因素和标准，不作为评审依据。</w:t>
      </w:r>
    </w:p>
    <w:p w14:paraId="5569E7BB">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5.4.2评审完成后，评审小组应当向发包人提交书面评审报告和成交候选人名单。评审小组推荐成交候选人的数量见交易须知前附表。</w:t>
      </w:r>
    </w:p>
    <w:p w14:paraId="4BE94CB5">
      <w:pPr>
        <w:pStyle w:val="4"/>
        <w:kinsoku/>
        <w:topLinePunct/>
        <w:autoSpaceDE/>
        <w:autoSpaceDN/>
        <w:spacing w:line="25" w:lineRule="atLeast"/>
        <w:rPr>
          <w:rFonts w:ascii="Times New Roman" w:hAnsi="Times New Roman" w:cs="Times New Roman"/>
          <w:color w:val="auto"/>
          <w:szCs w:val="24"/>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6.成交人确定</w:t>
      </w:r>
    </w:p>
    <w:p w14:paraId="73F5E576">
      <w:pPr>
        <w:pStyle w:val="5"/>
        <w:kinsoku/>
        <w:topLinePunct/>
        <w:autoSpaceDE/>
        <w:autoSpaceDN/>
        <w:spacing w:line="25" w:lineRule="atLeast"/>
        <w:ind w:left="1102"/>
        <w:rPr>
          <w:rFonts w:ascii="Times New Roman" w:hAnsi="Times New Roman" w:cs="Times New Roman"/>
          <w:color w:val="auto"/>
        </w:rPr>
      </w:pPr>
      <w:r>
        <w:rPr>
          <w:rFonts w:ascii="Times New Roman" w:hAnsi="Times New Roman" w:cs="Times New Roman"/>
          <w:color w:val="auto"/>
          <w:lang w:val="en-US"/>
        </w:rPr>
        <w:t>6</w:t>
      </w:r>
      <w:r>
        <w:rPr>
          <w:rFonts w:ascii="Times New Roman" w:hAnsi="Times New Roman" w:cs="Times New Roman"/>
          <w:color w:val="auto"/>
        </w:rPr>
        <w:t>.</w:t>
      </w:r>
      <w:r>
        <w:rPr>
          <w:rFonts w:ascii="Times New Roman" w:hAnsi="Times New Roman" w:cs="Times New Roman"/>
          <w:color w:val="auto"/>
          <w:lang w:val="en-US"/>
        </w:rPr>
        <w:t>1 成交公示</w:t>
      </w:r>
    </w:p>
    <w:p w14:paraId="3A3190F4">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6.1.1成交公示应当载明以下内容：成交候选人名称、报价、质量、工期等情况；提出异议(投诉)的渠道和方式；发包人认为其他应当载明的内容。</w:t>
      </w:r>
    </w:p>
    <w:p w14:paraId="712FA12D">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6.1.2公示期限不少于1个日，且公示日最后1天须为工作日。</w:t>
      </w:r>
    </w:p>
    <w:p w14:paraId="6A53355F">
      <w:pPr>
        <w:pStyle w:val="5"/>
        <w:kinsoku/>
        <w:topLinePunct/>
        <w:autoSpaceDE/>
        <w:autoSpaceDN/>
        <w:spacing w:line="25" w:lineRule="atLeast"/>
        <w:ind w:left="1102"/>
        <w:rPr>
          <w:rFonts w:ascii="Times New Roman" w:hAnsi="Times New Roman" w:cs="Times New Roman"/>
          <w:color w:val="auto"/>
        </w:rPr>
      </w:pPr>
      <w:r>
        <w:rPr>
          <w:rFonts w:ascii="Times New Roman" w:hAnsi="Times New Roman" w:cs="Times New Roman"/>
          <w:color w:val="auto"/>
          <w:lang w:val="en-US"/>
        </w:rPr>
        <w:t xml:space="preserve">6.2 </w:t>
      </w:r>
      <w:r>
        <w:rPr>
          <w:rFonts w:ascii="Times New Roman" w:hAnsi="Times New Roman" w:cs="Times New Roman"/>
          <w:color w:val="auto"/>
        </w:rPr>
        <w:t>确定方式</w:t>
      </w:r>
    </w:p>
    <w:p w14:paraId="4B7A6401">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6.2.1发包人应当按照成交候选人名单排序，确定排名第一的成交候选人为拟成交人。</w:t>
      </w:r>
    </w:p>
    <w:p w14:paraId="33A856E2">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6.2.2成交公示期满无异议的，且经发包人对拟成交人和其拟派项目负责人查验符合规定的，可确认为成交人。</w:t>
      </w:r>
    </w:p>
    <w:p w14:paraId="4E91E891">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6.2.3成交结果确认查验内容，见交易须知前附表。</w:t>
      </w:r>
    </w:p>
    <w:p w14:paraId="0EDEA5AE">
      <w:pPr>
        <w:pStyle w:val="5"/>
        <w:kinsoku/>
        <w:topLinePunct/>
        <w:autoSpaceDE/>
        <w:autoSpaceDN/>
        <w:spacing w:line="25" w:lineRule="atLeast"/>
        <w:ind w:left="1102"/>
        <w:rPr>
          <w:rFonts w:ascii="Times New Roman" w:hAnsi="Times New Roman" w:cs="Times New Roman"/>
          <w:color w:val="auto"/>
        </w:rPr>
      </w:pPr>
      <w:r>
        <w:rPr>
          <w:rFonts w:ascii="Times New Roman" w:hAnsi="Times New Roman" w:cs="Times New Roman"/>
          <w:color w:val="auto"/>
          <w:lang w:val="en-US"/>
        </w:rPr>
        <w:t>6</w:t>
      </w:r>
      <w:r>
        <w:rPr>
          <w:rFonts w:ascii="Times New Roman" w:hAnsi="Times New Roman" w:cs="Times New Roman"/>
          <w:color w:val="auto"/>
        </w:rPr>
        <w:t>.</w:t>
      </w:r>
      <w:r>
        <w:rPr>
          <w:rFonts w:ascii="Times New Roman" w:hAnsi="Times New Roman" w:cs="Times New Roman"/>
          <w:color w:val="auto"/>
          <w:lang w:val="en-US"/>
        </w:rPr>
        <w:t xml:space="preserve">3 </w:t>
      </w:r>
      <w:r>
        <w:rPr>
          <w:rFonts w:ascii="Times New Roman" w:hAnsi="Times New Roman" w:cs="Times New Roman"/>
          <w:color w:val="auto"/>
        </w:rPr>
        <w:t>成交通知</w:t>
      </w:r>
    </w:p>
    <w:p w14:paraId="42568775">
      <w:pPr>
        <w:kinsoku/>
        <w:wordWrap w:val="0"/>
        <w:topLinePunct/>
        <w:autoSpaceDE/>
        <w:autoSpaceDN/>
        <w:adjustRightInd/>
        <w:snapToGrid/>
        <w:spacing w:line="25" w:lineRule="atLeast"/>
        <w:ind w:firstLine="480" w:firstLineChars="200"/>
        <w:jc w:val="both"/>
        <w:rPr>
          <w:rFonts w:ascii="Times New Roman" w:hAnsi="Times New Roman" w:cs="Times New Roman"/>
          <w:color w:val="auto"/>
        </w:rPr>
      </w:pPr>
      <w:r>
        <w:rPr>
          <w:rFonts w:ascii="Times New Roman" w:hAnsi="Times New Roman" w:eastAsia="宋体" w:cs="Times New Roman"/>
          <w:color w:val="auto"/>
          <w:szCs w:val="24"/>
        </w:rPr>
        <w:t>6.3.1成交候选人公示结束且无尚未处理的异议后，由发包人或代理机构向成交人发出成交通知书，成交通知书和成交结果公告应当在规定时间内同时发出。</w:t>
      </w:r>
    </w:p>
    <w:p w14:paraId="60FC602E">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6.3.2排名第一的成交候选人放弃成交、成交人因不可抗力不履行合同、不按交易文件要求提交履约担保，或者被查实在影响成交结果的违法行为等情形不符合成交条件的，发包人可以按成交候选人名单排序依次确定其他成交候选人为成交人，也可以重新组织交易。</w:t>
      </w:r>
    </w:p>
    <w:p w14:paraId="31BFE2F2">
      <w:pPr>
        <w:pStyle w:val="4"/>
        <w:kinsoku/>
        <w:topLinePunct/>
        <w:autoSpaceDE/>
        <w:autoSpaceDN/>
        <w:spacing w:line="25" w:lineRule="atLeast"/>
        <w:rPr>
          <w:rFonts w:ascii="Times New Roman" w:hAnsi="Times New Roman"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7.合同授予</w:t>
      </w:r>
    </w:p>
    <w:p w14:paraId="61E25725">
      <w:pPr>
        <w:pStyle w:val="5"/>
        <w:kinsoku/>
        <w:topLinePunct/>
        <w:autoSpaceDE/>
        <w:autoSpaceDN/>
        <w:spacing w:line="25" w:lineRule="atLeast"/>
        <w:ind w:left="1102"/>
        <w:rPr>
          <w:rFonts w:ascii="Times New Roman" w:hAnsi="Times New Roman" w:cs="Times New Roman"/>
          <w:color w:val="auto"/>
        </w:rPr>
      </w:pPr>
      <w:r>
        <w:rPr>
          <w:rFonts w:ascii="Times New Roman" w:hAnsi="Times New Roman" w:cs="Times New Roman"/>
          <w:color w:val="auto"/>
        </w:rPr>
        <w:t>7.</w:t>
      </w:r>
      <w:r>
        <w:rPr>
          <w:rFonts w:ascii="Times New Roman" w:hAnsi="Times New Roman" w:cs="Times New Roman"/>
          <w:color w:val="auto"/>
          <w:lang w:val="en-US"/>
        </w:rPr>
        <w:t xml:space="preserve">1 </w:t>
      </w:r>
      <w:r>
        <w:rPr>
          <w:rFonts w:ascii="Times New Roman" w:hAnsi="Times New Roman" w:cs="Times New Roman"/>
          <w:color w:val="auto"/>
        </w:rPr>
        <w:t>履约担保</w:t>
      </w:r>
    </w:p>
    <w:p w14:paraId="73CD1458">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7.1.1在签订合同前，成交人应按交易须知前附表规定的金额、形式向发包人提交履约担保。联合体成交的，其履约担保由牵头人递交，并应符合交易须知前附表规定的金额、担保形式和交易文件规定的履约担保要求。</w:t>
      </w:r>
    </w:p>
    <w:p w14:paraId="5CA18A0A">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7.1.2成交人不能按本章第 7.1.1 项要求提交履约担保的，视为放弃成交，其交易保证金不予退还，给发包人造成的损失超过</w:t>
      </w:r>
      <w:r>
        <w:rPr>
          <w:rFonts w:hint="eastAsia" w:ascii="Times New Roman" w:hAnsi="Times New Roman" w:eastAsia="宋体" w:cs="Times New Roman"/>
          <w:color w:val="auto"/>
          <w:szCs w:val="24"/>
        </w:rPr>
        <w:t>交易</w:t>
      </w:r>
      <w:r>
        <w:rPr>
          <w:rFonts w:ascii="Times New Roman" w:hAnsi="Times New Roman" w:eastAsia="宋体" w:cs="Times New Roman"/>
          <w:color w:val="auto"/>
          <w:szCs w:val="24"/>
        </w:rPr>
        <w:t>保证金数额的，成交人还应当对超过部分予以赔偿。</w:t>
      </w:r>
    </w:p>
    <w:p w14:paraId="482830C5">
      <w:pPr>
        <w:pStyle w:val="5"/>
        <w:kinsoku/>
        <w:topLinePunct/>
        <w:autoSpaceDE/>
        <w:autoSpaceDN/>
        <w:spacing w:line="25" w:lineRule="atLeast"/>
        <w:ind w:left="1102"/>
        <w:rPr>
          <w:rFonts w:ascii="Times New Roman" w:hAnsi="Times New Roman" w:cs="Times New Roman"/>
          <w:color w:val="auto"/>
        </w:rPr>
      </w:pPr>
      <w:r>
        <w:rPr>
          <w:rFonts w:ascii="Times New Roman" w:hAnsi="Times New Roman" w:cs="Times New Roman"/>
          <w:color w:val="auto"/>
        </w:rPr>
        <w:t>7.</w:t>
      </w:r>
      <w:r>
        <w:rPr>
          <w:rFonts w:ascii="Times New Roman" w:hAnsi="Times New Roman" w:cs="Times New Roman"/>
          <w:color w:val="auto"/>
          <w:lang w:val="en-US"/>
        </w:rPr>
        <w:t xml:space="preserve">2 </w:t>
      </w:r>
      <w:r>
        <w:rPr>
          <w:rFonts w:ascii="Times New Roman" w:hAnsi="Times New Roman" w:cs="Times New Roman"/>
          <w:color w:val="auto"/>
        </w:rPr>
        <w:t>签订合同</w:t>
      </w:r>
    </w:p>
    <w:p w14:paraId="1AD3AE60">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7.2.1 发包人和成交人应当在成交通知书发出之日起30日内，根据交易文件和成交人的响应文件订立书面合同。</w:t>
      </w:r>
    </w:p>
    <w:p w14:paraId="231DF1B8">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7.2.2 发出成交通知书后，成交人无正当理由拒签合同，发包人有权取消其成交资格；给发包人造成损失的，成交人应当予以赔偿。发包人无正当理由拒签合同，给成交人造成损失的，还应当赔偿损失。</w:t>
      </w:r>
    </w:p>
    <w:p w14:paraId="18BD4FF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7.2.3 联合体成交的，联合体各方应当共同与发包人签订合同，就成交项目向发包人承担连带责任。</w:t>
      </w:r>
    </w:p>
    <w:p w14:paraId="3F8A808F">
      <w:pPr>
        <w:pStyle w:val="4"/>
        <w:kinsoku/>
        <w:topLinePunct/>
        <w:autoSpaceDE/>
        <w:autoSpaceDN/>
        <w:spacing w:line="25" w:lineRule="atLeast"/>
        <w:rPr>
          <w:rFonts w:ascii="Times New Roman" w:hAnsi="Times New Roman" w:cs="Times New Roman"/>
          <w:color w:val="auto"/>
          <w:szCs w:val="24"/>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8.重新组织交易和终止交易</w:t>
      </w:r>
    </w:p>
    <w:p w14:paraId="65C92C7A">
      <w:pPr>
        <w:pStyle w:val="5"/>
        <w:kinsoku/>
        <w:topLinePunct/>
        <w:autoSpaceDE/>
        <w:autoSpaceDN/>
        <w:spacing w:line="25" w:lineRule="atLeast"/>
        <w:ind w:left="1102"/>
        <w:rPr>
          <w:rFonts w:ascii="Times New Roman" w:hAnsi="Times New Roman" w:cs="Times New Roman"/>
          <w:color w:val="auto"/>
          <w:lang w:val="en-US"/>
        </w:rPr>
      </w:pPr>
      <w:r>
        <w:rPr>
          <w:rFonts w:ascii="Times New Roman" w:hAnsi="Times New Roman" w:cs="Times New Roman"/>
          <w:color w:val="auto"/>
          <w:lang w:val="en-US"/>
        </w:rPr>
        <w:t>8.1 重新组织交易</w:t>
      </w:r>
    </w:p>
    <w:p w14:paraId="49C2347D">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见交易须知前附表。</w:t>
      </w:r>
    </w:p>
    <w:p w14:paraId="6AF3371F">
      <w:pPr>
        <w:pStyle w:val="5"/>
        <w:kinsoku/>
        <w:topLinePunct/>
        <w:autoSpaceDE/>
        <w:autoSpaceDN/>
        <w:spacing w:line="25" w:lineRule="atLeast"/>
        <w:ind w:left="1102"/>
        <w:rPr>
          <w:rFonts w:ascii="Times New Roman" w:hAnsi="Times New Roman" w:cs="Times New Roman"/>
          <w:color w:val="auto"/>
          <w:lang w:val="en-US"/>
        </w:rPr>
      </w:pPr>
      <w:r>
        <w:rPr>
          <w:rFonts w:ascii="Times New Roman" w:hAnsi="Times New Roman" w:cs="Times New Roman"/>
          <w:color w:val="auto"/>
          <w:lang w:val="en-US"/>
        </w:rPr>
        <w:t>8.2  终止交易</w:t>
      </w:r>
    </w:p>
    <w:p w14:paraId="75410F5D">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项目因故发生变更，经原审批部门审批后可以终止交易。</w:t>
      </w:r>
    </w:p>
    <w:p w14:paraId="37C499D4">
      <w:pPr>
        <w:pStyle w:val="4"/>
        <w:kinsoku/>
        <w:topLinePunct/>
        <w:autoSpaceDE/>
        <w:autoSpaceDN/>
        <w:spacing w:line="25" w:lineRule="atLeast"/>
        <w:rPr>
          <w:rFonts w:ascii="Times New Roman" w:hAnsi="Times New Roman"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9.纪律和监督</w:t>
      </w:r>
    </w:p>
    <w:p w14:paraId="26A3CBC2">
      <w:pPr>
        <w:pStyle w:val="5"/>
        <w:kinsoku/>
        <w:topLinePunct/>
        <w:autoSpaceDE/>
        <w:autoSpaceDN/>
        <w:spacing w:line="25" w:lineRule="atLeast"/>
        <w:ind w:left="1102"/>
        <w:rPr>
          <w:rFonts w:ascii="Times New Roman" w:hAnsi="Times New Roman" w:cs="Times New Roman"/>
          <w:color w:val="auto"/>
        </w:rPr>
      </w:pPr>
      <w:r>
        <w:rPr>
          <w:rFonts w:ascii="Times New Roman" w:hAnsi="Times New Roman" w:cs="Times New Roman"/>
          <w:color w:val="auto"/>
        </w:rPr>
        <w:t>9.1</w:t>
      </w:r>
      <w:r>
        <w:rPr>
          <w:rFonts w:ascii="Times New Roman" w:hAnsi="Times New Roman" w:cs="Times New Roman"/>
          <w:color w:val="auto"/>
          <w:lang w:val="en-US"/>
        </w:rPr>
        <w:t xml:space="preserve"> </w:t>
      </w:r>
      <w:r>
        <w:rPr>
          <w:rFonts w:ascii="Times New Roman" w:hAnsi="Times New Roman" w:cs="Times New Roman"/>
          <w:color w:val="auto"/>
        </w:rPr>
        <w:t>对发包人的纪律要求</w:t>
      </w:r>
    </w:p>
    <w:p w14:paraId="0B60A1FF">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发包人不得泄露交易活动中应当保密的情况和资料，不得与潜在承包人串通损害国家利益、社会公共利益或者他人合法权益。</w:t>
      </w:r>
    </w:p>
    <w:p w14:paraId="091B5441">
      <w:pPr>
        <w:pStyle w:val="5"/>
        <w:kinsoku/>
        <w:topLinePunct/>
        <w:autoSpaceDE/>
        <w:autoSpaceDN/>
        <w:spacing w:line="25" w:lineRule="atLeast"/>
        <w:ind w:left="1102"/>
        <w:rPr>
          <w:rFonts w:ascii="Times New Roman" w:hAnsi="Times New Roman" w:cs="Times New Roman"/>
          <w:color w:val="auto"/>
        </w:rPr>
      </w:pPr>
      <w:r>
        <w:rPr>
          <w:rFonts w:ascii="Times New Roman" w:hAnsi="Times New Roman" w:cs="Times New Roman"/>
          <w:color w:val="auto"/>
        </w:rPr>
        <w:t>9.2</w:t>
      </w:r>
      <w:r>
        <w:rPr>
          <w:rFonts w:ascii="Times New Roman" w:hAnsi="Times New Roman" w:cs="Times New Roman"/>
          <w:color w:val="auto"/>
          <w:lang w:val="en-US"/>
        </w:rPr>
        <w:t xml:space="preserve">  </w:t>
      </w:r>
      <w:r>
        <w:rPr>
          <w:rFonts w:ascii="Times New Roman" w:hAnsi="Times New Roman" w:cs="Times New Roman"/>
          <w:color w:val="auto"/>
        </w:rPr>
        <w:t>对</w:t>
      </w:r>
      <w:r>
        <w:rPr>
          <w:rFonts w:ascii="Times New Roman" w:hAnsi="Times New Roman" w:cs="Times New Roman"/>
          <w:color w:val="auto"/>
          <w:szCs w:val="24"/>
          <w:lang w:val="en-US"/>
        </w:rPr>
        <w:t>潜在承包人</w:t>
      </w:r>
      <w:r>
        <w:rPr>
          <w:rFonts w:ascii="Times New Roman" w:hAnsi="Times New Roman" w:cs="Times New Roman"/>
          <w:color w:val="auto"/>
        </w:rPr>
        <w:t>的纪律要求</w:t>
      </w:r>
    </w:p>
    <w:p w14:paraId="7268EFD0">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潜在承包人不得相互串通或者与发包人串通，不得向发包人或者评审人员行贿谋取成交，不得以他人名义参与交易或者以其他方式弄虚作假参与交易；潜在承包人不得以任何方式干扰、影响评审工作。</w:t>
      </w:r>
    </w:p>
    <w:p w14:paraId="1810187A">
      <w:pPr>
        <w:kinsoku/>
        <w:topLinePunct/>
        <w:autoSpaceDE/>
        <w:autoSpaceDN/>
        <w:snapToGrid/>
        <w:spacing w:line="25" w:lineRule="atLeast"/>
        <w:ind w:firstLine="480" w:firstLineChars="200"/>
        <w:rPr>
          <w:rFonts w:ascii="Times New Roman" w:hAnsi="Times New Roman" w:cs="Times New Roman"/>
          <w:color w:val="auto"/>
        </w:rPr>
      </w:pPr>
      <w:r>
        <w:rPr>
          <w:rFonts w:ascii="Times New Roman" w:hAnsi="Times New Roman" w:eastAsia="宋体" w:cs="Times New Roman"/>
          <w:color w:val="auto"/>
          <w:szCs w:val="24"/>
          <w14:textOutline w14:w="5448" w14:cap="flat" w14:cmpd="sng" w14:algn="ctr">
            <w14:solidFill>
              <w14:srgbClr w14:val="000000"/>
            </w14:solidFill>
            <w14:prstDash w14:val="solid"/>
            <w14:miter w14:val="0"/>
          </w14:textOutline>
        </w:rPr>
        <w:t>9.2.1 失信行为的认定标准</w:t>
      </w:r>
    </w:p>
    <w:p w14:paraId="2F55599E">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(1)潜在承包人相互串通或与发包人串通交易；</w:t>
      </w:r>
    </w:p>
    <w:p w14:paraId="0507E82B">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(2)潜在承包人使用通过受让或者租借等方式获取的资格、资质证书交易；</w:t>
      </w:r>
    </w:p>
    <w:p w14:paraId="21E39FFA">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(3)潜在承包人以弄虚作假的方式骗取交易；</w:t>
      </w:r>
    </w:p>
    <w:p w14:paraId="5F4E447A">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(4)出让或者出租资格、资质证书供他人交易；</w:t>
      </w:r>
    </w:p>
    <w:p w14:paraId="2355B796">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(5)潜在承包人或其他利害关系人捏造事实、伪造材料或者以非法手段取得证明材料进行投诉；</w:t>
      </w:r>
    </w:p>
    <w:p w14:paraId="2AE5AB8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(6)潜在承包人向发包人、代理机构、评审人员行贿或者提供其他不正当利益；</w:t>
      </w:r>
    </w:p>
    <w:p w14:paraId="4C484937">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(7)成交人无正当理由放弃成交资格、不与发包人签订合同，或无正当理由拒绝履行合同；</w:t>
      </w:r>
    </w:p>
    <w:p w14:paraId="4E10BC59">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(8)成交人无故不配合办理发包备案手续影响办理施工许可证的；</w:t>
      </w:r>
    </w:p>
    <w:p w14:paraId="63D1D28E">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(9)成交人在签订合同时向发包人提出附加条件，或者未按照交易文件要求提交履约保证金；</w:t>
      </w:r>
    </w:p>
    <w:p w14:paraId="3232C310">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(10) 成交人与发包人违反交易文件和成交人的响应文件订立合同，成交人与发包人订立背离合同实质性内容的协议；</w:t>
      </w:r>
    </w:p>
    <w:p w14:paraId="755CB7D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(11)成交人将成交项目违法转让给他人或将成交项目肢解后违法转让或非法分包给他人；</w:t>
      </w:r>
    </w:p>
    <w:p w14:paraId="182F4267">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(12)交付的工程、货物或服务不符合合同约定，或者弄虚作假、以次充好，验收达不到合同要求的；</w:t>
      </w:r>
    </w:p>
    <w:p w14:paraId="0B772F6B">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(13)对投诉反映或检查发现的工程、货物或提供的服务有重大安全、质量隐患，经督促不及时整改的；</w:t>
      </w:r>
    </w:p>
    <w:p w14:paraId="049D2BCB">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(14)项目履约期间受到行业主管部门行政处罚的；</w:t>
      </w:r>
    </w:p>
    <w:p w14:paraId="0540DD25">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(15)其他违反签署的诚信承诺书或违法违规行为。</w:t>
      </w:r>
    </w:p>
    <w:p w14:paraId="75727DE3">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14:textOutline w14:w="5448" w14:cap="flat" w14:cmpd="sng" w14:algn="ctr">
            <w14:solidFill>
              <w14:srgbClr w14:val="000000"/>
            </w14:solidFill>
            <w14:prstDash w14:val="solid"/>
            <w14:miter w14:val="0"/>
          </w14:textOutline>
        </w:rPr>
        <w:t>9.2.2</w:t>
      </w:r>
      <w:r>
        <w:rPr>
          <w:rFonts w:ascii="Times New Roman" w:hAnsi="Times New Roman" w:eastAsia="宋体" w:cs="Times New Roman"/>
          <w:color w:val="auto"/>
          <w:szCs w:val="24"/>
        </w:rPr>
        <w:t xml:space="preserve"> </w:t>
      </w:r>
      <w:r>
        <w:rPr>
          <w:rFonts w:ascii="Times New Roman" w:hAnsi="Times New Roman" w:eastAsia="宋体" w:cs="Times New Roman"/>
          <w:color w:val="auto"/>
          <w:szCs w:val="24"/>
          <w14:textOutline w14:w="5448" w14:cap="flat" w14:cmpd="sng" w14:algn="ctr">
            <w14:solidFill>
              <w14:srgbClr w14:val="000000"/>
            </w14:solidFill>
            <w14:prstDash w14:val="solid"/>
            <w14:miter w14:val="0"/>
          </w14:textOutline>
        </w:rPr>
        <w:t>对串通行为的认定标准</w:t>
      </w:r>
    </w:p>
    <w:p w14:paraId="68374E4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(1)潜在承包人之间协调报价等响应文件的实质性内容；</w:t>
      </w:r>
    </w:p>
    <w:p w14:paraId="50FB8050">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(2)潜在承包人之间约定成交人；</w:t>
      </w:r>
    </w:p>
    <w:p w14:paraId="0787882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(3)潜在承包人之间约定部分潜在承包人放弃响应或者成交；</w:t>
      </w:r>
    </w:p>
    <w:p w14:paraId="16DB7F9E">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(4)属于同一集团、协会、商会等组织成员的潜在承包人按照该组织要求协同参与交易；</w:t>
      </w:r>
    </w:p>
    <w:p w14:paraId="0A702916">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(5)不同潜在承包人的响应文件由同一单位或者个人编制，包括同一项目不同潜在承包人的电子响应文件的文件制作机器码相同的；</w:t>
      </w:r>
    </w:p>
    <w:p w14:paraId="32E85ABF">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(6)不同潜在承包人委托同一单位或者个人办理本项目的交易事宜，包括不同潜在承包人从同一单位或同一自然人的IP地址下载交易文件、上传响应文件或参加交易活动的人员为同一标段其他潜在承包人的在职人员的；</w:t>
      </w:r>
    </w:p>
    <w:p w14:paraId="2687C0B0">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(7)不同潜在承包人的响应文件载明的项目管理成员为同一人；</w:t>
      </w:r>
    </w:p>
    <w:p w14:paraId="14F315A2">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(8)不同潜在承包人的响应文件异常一致或者报价呈规律性差异 (合理低价法除外) ；</w:t>
      </w:r>
    </w:p>
    <w:p w14:paraId="7C2AA88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(9)不同潜在承包人的响应文件相互混装；</w:t>
      </w:r>
    </w:p>
    <w:p w14:paraId="34F887F6">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(10)不同潜在承包人的交易保证金从同一单位或个人账户转出；</w:t>
      </w:r>
    </w:p>
    <w:p w14:paraId="2D8F195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(11)潜在承包人之间为谋取成交或者排斥特定承包人而采取的其他联合行动；</w:t>
      </w:r>
    </w:p>
    <w:p w14:paraId="0B99295A">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(12)发包人直接或间接向潜在承包人泄露应保密的评审小组成员、响应文件商业秘密等信息的；</w:t>
      </w:r>
    </w:p>
    <w:p w14:paraId="255B8099">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(13)发包人明示或暗示潜在承包人压低或者抬高响应报价；</w:t>
      </w:r>
    </w:p>
    <w:p w14:paraId="15ACCF69">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(14)发包人授意潜在承包人撤换、修改响应文件；</w:t>
      </w:r>
    </w:p>
    <w:p w14:paraId="13548F8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(15)发包人明示或暗示潜在承包人为特定潜在承包人成交提供方便；</w:t>
      </w:r>
    </w:p>
    <w:p w14:paraId="44E3856B">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(16)发包人与潜在承包人为谋求特定潜在承包人成交而采取的其他串通行为。</w:t>
      </w:r>
    </w:p>
    <w:p w14:paraId="7A54BB57">
      <w:pPr>
        <w:kinsoku/>
        <w:topLinePunct/>
        <w:snapToGrid/>
        <w:spacing w:line="25" w:lineRule="atLeast"/>
        <w:ind w:firstLine="480" w:firstLineChars="200"/>
        <w:rPr>
          <w:rFonts w:ascii="Times New Roman" w:hAnsi="Times New Roman" w:eastAsia="宋体"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eastAsia="宋体" w:cs="Times New Roman"/>
          <w:color w:val="auto"/>
          <w:szCs w:val="24"/>
          <w14:textOutline w14:w="5448" w14:cap="flat" w14:cmpd="sng" w14:algn="ctr">
            <w14:solidFill>
              <w14:srgbClr w14:val="000000"/>
            </w14:solidFill>
            <w14:prstDash w14:val="solid"/>
            <w14:miter w14:val="0"/>
          </w14:textOutline>
        </w:rPr>
        <w:t>9.2.3 失信行为和串通行为处理</w:t>
      </w:r>
    </w:p>
    <w:p w14:paraId="4303CA09">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成交人或潜在承包人被查实存在第9.2.1和9.2.2款等不良信用行为的，将被记录为不良信用信息，并根据影响程度确定交易暂停期限，原则上不少于6个月；经认定的不良信用信息，统一在城投集团小额工程交易平台进行公示，交易暂停期间不得参与城投集团系统小额工程交易活动。</w:t>
      </w:r>
    </w:p>
    <w:p w14:paraId="2BC4EAC3">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(2)发包人重新组织交易的，可以拒绝该潜在承包人再次参加该项目交易活动；存在串通行为或情节严重的失信行为的，将依法依规处理。</w:t>
      </w:r>
    </w:p>
    <w:p w14:paraId="7C7C3EE9">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w:t>
      </w:r>
      <w:r>
        <w:rPr>
          <w:rFonts w:hint="eastAsia" w:ascii="Times New Roman" w:hAnsi="Times New Roman" w:eastAsia="宋体" w:cs="Times New Roman"/>
          <w:color w:val="auto"/>
          <w:szCs w:val="24"/>
        </w:rPr>
        <w:t>经查实存在失信行为和串通行为的：潜在承包人的交易保证金不予退还；已退还交易保证金的成交人，其履约担保不予退还；已退还交易保证金的其他潜在承包人，给发包人造成损失的，发包人有权索赔追偿</w:t>
      </w:r>
      <w:r>
        <w:rPr>
          <w:rFonts w:ascii="Times New Roman" w:hAnsi="Times New Roman" w:eastAsia="宋体" w:cs="Times New Roman"/>
          <w:color w:val="auto"/>
          <w:szCs w:val="24"/>
        </w:rPr>
        <w:t>。</w:t>
      </w:r>
    </w:p>
    <w:p w14:paraId="6E3AB5B3">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9.3</w:t>
      </w:r>
      <w:r>
        <w:rPr>
          <w:rFonts w:ascii="Times New Roman" w:hAnsi="Times New Roman" w:cs="Times New Roman"/>
          <w:color w:val="auto"/>
          <w:lang w:val="en-US"/>
        </w:rPr>
        <w:t xml:space="preserve"> </w:t>
      </w:r>
      <w:r>
        <w:rPr>
          <w:rFonts w:ascii="Times New Roman" w:hAnsi="Times New Roman" w:cs="Times New Roman"/>
          <w:color w:val="auto"/>
        </w:rPr>
        <w:t>对评审人员的纪律要求</w:t>
      </w:r>
    </w:p>
    <w:p w14:paraId="27196835">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评审人员不得收受他人的财物或者其他好处，不得向他人透露应当保密的相关内容。在评审活动中，评审人员不得擅离职守，影响评审程序正常进行，不得使用“评审办法”没有规定的评审因素和标准进行评审。</w:t>
      </w:r>
    </w:p>
    <w:p w14:paraId="2F94B1BC">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9.4</w:t>
      </w:r>
      <w:r>
        <w:rPr>
          <w:rFonts w:ascii="Times New Roman" w:hAnsi="Times New Roman" w:cs="Times New Roman"/>
          <w:color w:val="auto"/>
          <w:lang w:val="en-US"/>
        </w:rPr>
        <w:t xml:space="preserve"> </w:t>
      </w:r>
      <w:r>
        <w:rPr>
          <w:rFonts w:ascii="Times New Roman" w:hAnsi="Times New Roman" w:cs="Times New Roman"/>
          <w:color w:val="auto"/>
        </w:rPr>
        <w:t>对与评审活动有关的工作人员的纪律要求</w:t>
      </w:r>
    </w:p>
    <w:p w14:paraId="743E4C98">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与评审活动有关的工作人员不得收受他人的财物或者其他好处，不得向他人透露应当保密的相关内容。在评审活动中，与评审活动有关的工作人员不得擅离职守，影响评审程序正常进行。</w:t>
      </w:r>
    </w:p>
    <w:p w14:paraId="3E6845D0">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9.5</w:t>
      </w:r>
      <w:r>
        <w:rPr>
          <w:rFonts w:ascii="Times New Roman" w:hAnsi="Times New Roman" w:cs="Times New Roman"/>
          <w:color w:val="auto"/>
          <w:lang w:val="en-US"/>
        </w:rPr>
        <w:t xml:space="preserve"> </w:t>
      </w:r>
      <w:r>
        <w:rPr>
          <w:rFonts w:ascii="Times New Roman" w:hAnsi="Times New Roman" w:cs="Times New Roman"/>
          <w:color w:val="auto"/>
        </w:rPr>
        <w:t>异议和投诉</w:t>
      </w:r>
    </w:p>
    <w:p w14:paraId="326805BE">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9.5.1异议</w:t>
      </w:r>
    </w:p>
    <w:p w14:paraId="637A07CD">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(1)潜在承包人对交易文件有异议的，应当在响应截止时间5日前以书面形式向发包人提出。发包人将在收到异议之日起2日内作出书面答复</w:t>
      </w:r>
      <w:r>
        <w:rPr>
          <w:rFonts w:hint="eastAsia" w:ascii="Times New Roman" w:hAnsi="Times New Roman" w:eastAsia="宋体" w:cs="Times New Roman"/>
          <w:color w:val="auto"/>
          <w:szCs w:val="24"/>
        </w:rPr>
        <w:t>；前附表另有规定的除外</w:t>
      </w:r>
      <w:r>
        <w:rPr>
          <w:rFonts w:ascii="Times New Roman" w:hAnsi="Times New Roman" w:eastAsia="宋体" w:cs="Times New Roman"/>
          <w:color w:val="auto"/>
          <w:szCs w:val="24"/>
        </w:rPr>
        <w:t>。</w:t>
      </w:r>
    </w:p>
    <w:p w14:paraId="23EE708D">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(2)潜在承包人认为响应开启不符合有关规定的，应当在响应开启时提出异议。发包人将当场对异议给予处理或者告知处理的办法。异议和答复应记入响应记录或者制作专门记录以存档备查；</w:t>
      </w:r>
    </w:p>
    <w:p w14:paraId="625F89DC">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(3)潜在承包人对评审结果有异议的，应当在成交候选人公示期内以书面形式向发包人提出。发包人应当在收到异议之日起3个工作日内作出书面答复。</w:t>
      </w:r>
    </w:p>
    <w:p w14:paraId="444022A6">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9.5.2投诉</w:t>
      </w:r>
    </w:p>
    <w:p w14:paraId="66BEC1FB">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潜在承包人提起投诉前应当依据交易文件规定先向发包人提出异议，认为异议答复不满意的，可以自知道或者应当知道之日起10日内向交易公告的项目监督部门或监督机构提出投诉。异议答复期不计算在上述规定的期限内。投诉应当有明确的请求和必要的证明资料。上述时限最后一日如遇国家法定休假日的，顺延至法定休假日后的第一个工作日。</w:t>
      </w:r>
    </w:p>
    <w:p w14:paraId="40E37FF4">
      <w:pPr>
        <w:pStyle w:val="4"/>
        <w:kinsoku/>
        <w:topLinePunct/>
        <w:spacing w:line="25" w:lineRule="atLeast"/>
        <w:rPr>
          <w:rFonts w:ascii="Times New Roman" w:hAnsi="Times New Roman"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10.在建合同工程</w:t>
      </w:r>
    </w:p>
    <w:p w14:paraId="7A85320E">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10.1</w:t>
      </w:r>
      <w:r>
        <w:rPr>
          <w:rFonts w:ascii="Times New Roman" w:hAnsi="Times New Roman" w:cs="Times New Roman"/>
          <w:color w:val="auto"/>
          <w:lang w:val="en-US"/>
        </w:rPr>
        <w:t xml:space="preserve"> </w:t>
      </w:r>
      <w:r>
        <w:rPr>
          <w:rFonts w:ascii="Times New Roman" w:hAnsi="Times New Roman" w:cs="Times New Roman"/>
          <w:color w:val="auto"/>
        </w:rPr>
        <w:t>对拟派项目负责人“有在建合同工程”的认定标准：</w:t>
      </w:r>
    </w:p>
    <w:p w14:paraId="557EEB09">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(1)拟派项目负责人在响应截止时间尚有在其他在建合同工程中担任项目负责人的情形为“有在建合同工程”。</w:t>
      </w:r>
    </w:p>
    <w:p w14:paraId="399B65EE">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(2)其他工程项目，包括在中华人民共和国境内所有建设工程，不受地域、行业和投资性质的限制。</w:t>
      </w:r>
    </w:p>
    <w:p w14:paraId="5785FFB0">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(3)在建合同工程的时间界定：在建合同工程的开始时间为合同工程成交 (成交) 通知书发出日期，不通过公开方式的则以合同签订日期为开始时间，结束时间为该合同工程验收合格或合同解除日期。</w:t>
      </w:r>
    </w:p>
    <w:p w14:paraId="0A62CD8C">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10.2</w:t>
      </w:r>
      <w:r>
        <w:rPr>
          <w:rFonts w:ascii="Times New Roman" w:hAnsi="Times New Roman" w:cs="Times New Roman"/>
          <w:color w:val="auto"/>
          <w:lang w:val="en-US"/>
        </w:rPr>
        <w:t xml:space="preserve"> </w:t>
      </w:r>
      <w:r>
        <w:rPr>
          <w:rFonts w:ascii="Times New Roman" w:hAnsi="Times New Roman" w:cs="Times New Roman"/>
          <w:color w:val="auto"/>
        </w:rPr>
        <w:t>存在以下情形的视为“有在建合同工程”：</w:t>
      </w:r>
    </w:p>
    <w:p w14:paraId="29658CE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(1)合同协议书尚未签订的，成交 (成交) 通知书中载明的项目负责人。</w:t>
      </w:r>
    </w:p>
    <w:p w14:paraId="73306662">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(2)合同协议书已经签订，合同协议书中明确的项目负责人。</w:t>
      </w:r>
    </w:p>
    <w:p w14:paraId="537F30F7">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(3)项目负责人发生更换的，以现任项目负责人视为有“在建合同工程”。</w:t>
      </w:r>
    </w:p>
    <w:p w14:paraId="58E5726A">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(4)全国和浙江省建筑市场监管与诚信信息平台发布拟派项目负责人处于“锁定”状态且响应文件中未提交工程竣工验收材料或项目负责人变更材料的视为有“在建合同工程”。</w:t>
      </w:r>
    </w:p>
    <w:p w14:paraId="43C8E5F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(5)各级公共资源交易网站 (系统) 或行业主管部门网站 (系统) 发布的成交 (成交) 通知书或合同载明的项目负责人为拟派本项目的项目负责人且服务期限或工期包括了本项目的响应截止日期的，响应文件中未提交工程竣工验收材料或项目负责人变更材料的视为有“在建合同工程”。公共资源交易网站 (系统) 或行业主管部门网站 (系统) 可以查询到项目已竣工验收或项目负责人已变更的除外。</w:t>
      </w:r>
    </w:p>
    <w:p w14:paraId="65ECBB82">
      <w:pPr>
        <w:pStyle w:val="5"/>
        <w:kinsoku/>
        <w:topLinePunct/>
        <w:spacing w:line="25" w:lineRule="atLeast"/>
        <w:ind w:left="12" w:leftChars="5" w:firstLine="198"/>
        <w:rPr>
          <w:rFonts w:ascii="Times New Roman" w:hAnsi="Times New Roman" w:cs="Times New Roman"/>
          <w:color w:val="auto"/>
        </w:rPr>
      </w:pPr>
      <w:r>
        <w:rPr>
          <w:rFonts w:ascii="Times New Roman" w:hAnsi="Times New Roman" w:cs="Times New Roman"/>
          <w:color w:val="auto"/>
        </w:rPr>
        <w:t>10.3在建项目的项目负责人 (包括在工程总承包项目中担任施工负责人或总负责人) 办理更换后，递交响应文件时需提供的资料：</w:t>
      </w:r>
    </w:p>
    <w:p w14:paraId="57913860">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(1)项目业主同意更换的证明。</w:t>
      </w:r>
    </w:p>
    <w:p w14:paraId="43271CD9">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(2)原项目负责人在建项目信息有备案在建设主管部门的，应提供建设主管部门同意更换的证明或网上变更信息扫描件。</w:t>
      </w:r>
    </w:p>
    <w:p w14:paraId="0779D33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(3)未提供有效证明材料的视作无变更，事后补充的变更证明材料均不予认可。</w:t>
      </w:r>
    </w:p>
    <w:p w14:paraId="42812398">
      <w:pPr>
        <w:pStyle w:val="4"/>
        <w:kinsoku/>
        <w:topLinePunct/>
        <w:spacing w:line="25" w:lineRule="atLeast"/>
        <w:rPr>
          <w:rFonts w:ascii="Times New Roman" w:hAnsi="Times New Roman"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11.电子交易活动的中止</w:t>
      </w:r>
    </w:p>
    <w:p w14:paraId="635B0D99">
      <w:pPr>
        <w:pStyle w:val="5"/>
        <w:kinsoku/>
        <w:topLinePunct/>
        <w:spacing w:line="25" w:lineRule="atLeast"/>
        <w:ind w:left="12" w:leftChars="5" w:firstLine="198"/>
        <w:rPr>
          <w:rFonts w:ascii="Times New Roman" w:hAnsi="Times New Roman" w:cs="Times New Roman"/>
          <w:color w:val="auto"/>
        </w:rPr>
      </w:pPr>
      <w:r>
        <w:rPr>
          <w:rFonts w:ascii="Times New Roman" w:hAnsi="Times New Roman" w:cs="Times New Roman"/>
          <w:color w:val="auto"/>
          <w:lang w:val="en-US"/>
        </w:rPr>
        <w:t xml:space="preserve">11.1 </w:t>
      </w:r>
      <w:r>
        <w:rPr>
          <w:rFonts w:ascii="Times New Roman" w:hAnsi="Times New Roman" w:cs="Times New Roman"/>
          <w:color w:val="auto"/>
        </w:rPr>
        <w:t>中止</w:t>
      </w:r>
    </w:p>
    <w:p w14:paraId="5548C099">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发包过程中出现以下情形，导致电子交易平台无法正常运行，或者无法保证电子交易的公平、公正和安全时，发包人或代理机构可中止电子交易活动：</w:t>
      </w:r>
    </w:p>
    <w:p w14:paraId="47C41433">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 xml:space="preserve">(1)电子交易平台发生故障而无法登录访问的； </w:t>
      </w:r>
    </w:p>
    <w:p w14:paraId="691F5FB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(2)电子交易平台应用或数据库出现错误，不能进行正常操作的；</w:t>
      </w:r>
    </w:p>
    <w:p w14:paraId="122B67C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(3)电子交易平台发现严重安全漏洞，有潜在泄密危险的；</w:t>
      </w:r>
    </w:p>
    <w:p w14:paraId="411E1F85">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 xml:space="preserve">(4)病毒发作导致不能进行正常操作的； </w:t>
      </w:r>
    </w:p>
    <w:p w14:paraId="14BA9605">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(5)其他无法保证电子交易的公平、公正和安全的情况。</w:t>
      </w:r>
    </w:p>
    <w:p w14:paraId="133CAC2E">
      <w:pPr>
        <w:pStyle w:val="5"/>
        <w:kinsoku/>
        <w:topLinePunct/>
        <w:spacing w:line="25" w:lineRule="atLeast"/>
        <w:ind w:left="12" w:leftChars="5" w:firstLine="198"/>
        <w:rPr>
          <w:rFonts w:ascii="Times New Roman" w:hAnsi="Times New Roman" w:cs="Times New Roman"/>
          <w:color w:val="auto"/>
          <w:lang w:val="en-US"/>
        </w:rPr>
      </w:pPr>
      <w:r>
        <w:rPr>
          <w:rFonts w:ascii="Times New Roman" w:hAnsi="Times New Roman" w:cs="Times New Roman"/>
          <w:color w:val="auto"/>
          <w:lang w:val="en-US"/>
        </w:rPr>
        <w:t xml:space="preserve">11.2 </w:t>
      </w:r>
      <w:r>
        <w:rPr>
          <w:rFonts w:ascii="Times New Roman" w:hAnsi="Times New Roman" w:cs="Times New Roman"/>
          <w:color w:val="auto"/>
        </w:rPr>
        <w:t>中止后处置</w:t>
      </w:r>
    </w:p>
    <w:p w14:paraId="3C239119">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出现以上情形，不影响交易公平、公正性的，发包人或代理机构可以待上述情形消除后继续组织电子交易活动，也可以决定某些环节以纸质形式进行；影响或可能影响交易公平、公正性的，应当重新组织交易。</w:t>
      </w:r>
    </w:p>
    <w:p w14:paraId="66E54D20">
      <w:pPr>
        <w:pStyle w:val="4"/>
        <w:kinsoku/>
        <w:topLinePunct/>
        <w:spacing w:line="25" w:lineRule="atLeast"/>
        <w:rPr>
          <w:rFonts w:ascii="Times New Roman" w:hAnsi="Times New Roman" w:cs="Times New Roman"/>
          <w:color w:val="auto"/>
          <w:szCs w:val="24"/>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12.特殊说明</w:t>
      </w:r>
    </w:p>
    <w:p w14:paraId="1FEB81E9">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见交易须知前附表。</w:t>
      </w:r>
    </w:p>
    <w:p w14:paraId="191754C1">
      <w:pPr>
        <w:pStyle w:val="3"/>
        <w:kinsoku/>
        <w:topLinePunct/>
        <w:spacing w:line="25" w:lineRule="atLeast"/>
        <w:rPr>
          <w:rFonts w:ascii="Times New Roman" w:hAnsi="Times New Roman" w:cs="Times New Roman"/>
          <w:color w:val="auto"/>
        </w:rPr>
        <w:sectPr>
          <w:footerReference r:id="rId11" w:type="default"/>
          <w:pgSz w:w="11906" w:h="16838"/>
          <w:pgMar w:top="1440" w:right="1083" w:bottom="1440" w:left="1083" w:header="850" w:footer="850" w:gutter="0"/>
          <w:cols w:space="0" w:num="1"/>
        </w:sectPr>
      </w:pPr>
    </w:p>
    <w:p w14:paraId="1E5332C0">
      <w:pPr>
        <w:pStyle w:val="2"/>
        <w:kinsoku/>
        <w:topLinePunct/>
        <w:rPr>
          <w:rFonts w:ascii="Times New Roman" w:hAnsi="Times New Roman" w:cs="Times New Roman"/>
          <w:b w:val="0"/>
          <w:bCs w:val="0"/>
          <w:color w:val="auto"/>
        </w:rPr>
      </w:pPr>
      <w:r>
        <w:rPr>
          <w:rFonts w:ascii="Times New Roman" w:hAnsi="Times New Roman" w:cs="Times New Roman"/>
          <w:b w:val="0"/>
          <w:bCs w:val="0"/>
          <w:color w:val="auto"/>
          <w:spacing w:val="-6"/>
          <w14:textOutline w14:w="8712" w14:cap="flat" w14:cmpd="sng" w14:algn="ctr">
            <w14:solidFill>
              <w14:srgbClr w14:val="000000"/>
            </w14:solidFill>
            <w14:prstDash w14:val="solid"/>
            <w14:miter w14:val="0"/>
          </w14:textOutline>
        </w:rPr>
        <w:t>第三章</w:t>
      </w:r>
      <w:r>
        <w:rPr>
          <w:rFonts w:ascii="Times New Roman" w:hAnsi="Times New Roman" w:cs="Times New Roman"/>
          <w:b w:val="0"/>
          <w:bCs w:val="0"/>
          <w:color w:val="auto"/>
          <w:spacing w:val="-5"/>
        </w:rPr>
        <w:t xml:space="preserve"> </w:t>
      </w:r>
      <w:r>
        <w:rPr>
          <w:rFonts w:ascii="Times New Roman" w:hAnsi="Times New Roman" w:cs="Times New Roman"/>
          <w:b w:val="0"/>
          <w:bCs w:val="0"/>
          <w:color w:val="auto"/>
          <w:spacing w:val="-5"/>
          <w14:textOutline w14:w="8712" w14:cap="flat" w14:cmpd="sng" w14:algn="ctr">
            <w14:solidFill>
              <w14:srgbClr w14:val="000000"/>
            </w14:solidFill>
            <w14:prstDash w14:val="solid"/>
            <w14:miter w14:val="0"/>
          </w14:textOutline>
        </w:rPr>
        <w:t>评审办法</w:t>
      </w:r>
    </w:p>
    <w:p w14:paraId="4E2FBD9E">
      <w:pPr>
        <w:kinsoku/>
        <w:wordWrap w:val="0"/>
        <w:topLinePunct/>
        <w:autoSpaceDE/>
        <w:autoSpaceDN/>
        <w:adjustRightInd/>
        <w:snapToGrid/>
        <w:ind w:firstLine="420" w:firstLineChars="200"/>
        <w:rPr>
          <w:rFonts w:ascii="Times New Roman" w:hAnsi="Times New Roman" w:cs="Times New Roman"/>
          <w:color w:val="auto"/>
          <w:sz w:val="21"/>
        </w:rPr>
      </w:pPr>
    </w:p>
    <w:p w14:paraId="72D67974">
      <w:pPr>
        <w:kinsoku/>
        <w:rPr>
          <w:rFonts w:ascii="Times New Roman" w:hAnsi="Times New Roman" w:eastAsia="仿宋" w:cs="Times New Roman"/>
          <w:color w:val="auto"/>
          <w:spacing w:val="-15"/>
          <w:position w:val="21"/>
          <w:sz w:val="30"/>
          <w:szCs w:val="30"/>
        </w:rPr>
      </w:pPr>
      <w:r>
        <w:rPr>
          <w:rFonts w:hint="eastAsia" w:ascii="Times New Roman" w:hAnsi="Times New Roman" w:eastAsia="宋体" w:cs="Times New Roman"/>
          <w:color w:val="auto"/>
          <w:spacing w:val="-15"/>
          <w:position w:val="21"/>
          <w:sz w:val="30"/>
          <w:szCs w:val="30"/>
          <w:shd w:val="pct15" w:color="auto" w:fill="FFFFFF"/>
        </w:rPr>
        <w:t>■</w:t>
      </w:r>
      <w:r>
        <w:rPr>
          <w:rFonts w:ascii="Times New Roman" w:hAnsi="Times New Roman" w:eastAsia="宋体" w:cs="Times New Roman"/>
          <w:color w:val="auto"/>
          <w:spacing w:val="-15"/>
          <w:position w:val="21"/>
          <w:sz w:val="30"/>
          <w:szCs w:val="30"/>
          <w:shd w:val="pct15" w:color="auto" w:fill="FFFFFF"/>
        </w:rPr>
        <w:t>评审办法二</w:t>
      </w:r>
    </w:p>
    <w:p w14:paraId="1DEAE7B2">
      <w:pPr>
        <w:pStyle w:val="3"/>
        <w:kinsoku/>
        <w:topLinePunct/>
        <w:rPr>
          <w:rFonts w:ascii="Times New Roman" w:hAnsi="Times New Roman" w:cs="Times New Roman"/>
          <w:color w:val="auto"/>
        </w:rPr>
      </w:pPr>
      <w:r>
        <w:rPr>
          <w:rFonts w:ascii="Times New Roman" w:hAnsi="Times New Roman" w:cs="Times New Roman"/>
          <w:color w:val="auto"/>
        </w:rPr>
        <w:t>合理低价法</w:t>
      </w:r>
    </w:p>
    <w:p w14:paraId="27D5B038">
      <w:pPr>
        <w:kinsoku/>
        <w:topLinePunct/>
        <w:snapToGrid/>
        <w:ind w:right="89"/>
        <w:rPr>
          <w:rFonts w:ascii="Times New Roman" w:hAnsi="Times New Roman" w:eastAsia="宋体" w:cs="Times New Roman"/>
          <w:color w:val="auto"/>
          <w:spacing w:val="5"/>
          <w:szCs w:val="24"/>
        </w:rPr>
      </w:pPr>
    </w:p>
    <w:p w14:paraId="464103A8">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snapToGrid/>
          <w:color w:val="auto"/>
          <w:szCs w:val="24"/>
          <w14:textOutline w14:w="4356" w14:cap="flat" w14:cmpd="sng" w14:algn="ctr">
            <w14:solidFill>
              <w14:srgbClr w14:val="000000"/>
            </w14:solidFill>
            <w14:prstDash w14:val="solid"/>
            <w14:miter w14:val="0"/>
          </w14:textOutline>
        </w:rPr>
        <w:t>一、</w:t>
      </w:r>
      <w:r>
        <w:rPr>
          <w:rFonts w:ascii="Times New Roman" w:hAnsi="Times New Roman" w:cs="Times New Roman"/>
          <w:snapToGrid/>
          <w:color w:val="auto"/>
          <w:szCs w:val="24"/>
          <w14:textOutline w14:w="4356" w14:cap="flat" w14:cmpd="sng" w14:algn="ctr">
            <w14:solidFill>
              <w14:srgbClr w14:val="000000"/>
            </w14:solidFill>
            <w14:prstDash w14:val="solid"/>
            <w14:miter w14:val="0"/>
          </w14:textOutline>
        </w:rPr>
        <w:t>智能评审</w:t>
      </w:r>
      <w:r>
        <w:rPr>
          <w:rFonts w:ascii="Times New Roman" w:hAnsi="Times New Roman" w:eastAsia="宋体" w:cs="Times New Roman"/>
          <w:snapToGrid/>
          <w:color w:val="auto"/>
          <w:szCs w:val="24"/>
          <w14:textOutline w14:w="4356" w14:cap="flat" w14:cmpd="sng" w14:algn="ctr">
            <w14:solidFill>
              <w14:srgbClr w14:val="000000"/>
            </w14:solidFill>
            <w14:prstDash w14:val="solid"/>
            <w14:miter w14:val="0"/>
          </w14:textOutline>
        </w:rPr>
        <w:t>程序</w:t>
      </w:r>
    </w:p>
    <w:p w14:paraId="70BB0CA4">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(一)初步审查</w:t>
      </w:r>
    </w:p>
    <w:p w14:paraId="5BB8614A">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(二)确定评审区间和合理最低价</w:t>
      </w:r>
    </w:p>
    <w:p w14:paraId="5B9FBC6C">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(三)推荐成交候选人</w:t>
      </w:r>
    </w:p>
    <w:p w14:paraId="0162DC15">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(四)符合性审查</w:t>
      </w:r>
    </w:p>
    <w:p w14:paraId="50BBF778">
      <w:pPr>
        <w:kinsoku/>
        <w:topLinePunct/>
        <w:snapToGrid/>
        <w:spacing w:line="400" w:lineRule="exact"/>
        <w:ind w:firstLine="480" w:firstLineChars="200"/>
        <w:rPr>
          <w:rFonts w:ascii="Times New Roman" w:hAnsi="Times New Roman" w:eastAsia="宋体" w:cs="Times New Roman"/>
          <w:snapToGrid/>
          <w:color w:val="auto"/>
          <w:szCs w:val="24"/>
          <w14:textOutline w14:w="4356" w14:cap="flat" w14:cmpd="sng" w14:algn="ctr">
            <w14:solidFill>
              <w14:srgbClr w14:val="000000"/>
            </w14:solidFill>
            <w14:prstDash w14:val="solid"/>
            <w14:miter w14:val="0"/>
          </w14:textOutline>
        </w:rPr>
      </w:pPr>
      <w:r>
        <w:rPr>
          <w:rFonts w:ascii="Times New Roman" w:hAnsi="Times New Roman" w:eastAsia="宋体" w:cs="Times New Roman"/>
          <w:snapToGrid/>
          <w:color w:val="auto"/>
          <w:szCs w:val="24"/>
          <w14:textOutline w14:w="4356" w14:cap="flat" w14:cmpd="sng" w14:algn="ctr">
            <w14:solidFill>
              <w14:srgbClr w14:val="000000"/>
            </w14:solidFill>
            <w14:prstDash w14:val="solid"/>
            <w14:miter w14:val="0"/>
          </w14:textOutline>
        </w:rPr>
        <w:t>二、具体步骤</w:t>
      </w:r>
    </w:p>
    <w:p w14:paraId="3E454397">
      <w:pPr>
        <w:kinsoku/>
        <w:topLinePunct/>
        <w:spacing w:line="400" w:lineRule="exact"/>
        <w:ind w:firstLine="482" w:firstLineChars="200"/>
        <w:rPr>
          <w:rFonts w:ascii="Times New Roman" w:hAnsi="Times New Roman" w:eastAsia="宋体" w:cs="Times New Roman"/>
          <w:b/>
          <w:bCs/>
          <w:color w:val="auto"/>
          <w:szCs w:val="24"/>
        </w:rPr>
      </w:pPr>
      <w:r>
        <w:rPr>
          <w:rFonts w:ascii="Times New Roman" w:hAnsi="Times New Roman" w:eastAsia="宋体" w:cs="Times New Roman"/>
          <w:b/>
          <w:bCs/>
          <w:color w:val="auto"/>
          <w:szCs w:val="24"/>
        </w:rPr>
        <w:t>(一)初步审查（系统</w:t>
      </w:r>
      <w:r>
        <w:rPr>
          <w:rFonts w:hint="eastAsia" w:ascii="Times New Roman" w:hAnsi="Times New Roman" w:eastAsia="宋体" w:cs="Times New Roman"/>
          <w:b/>
          <w:bCs/>
          <w:color w:val="auto"/>
          <w:szCs w:val="24"/>
        </w:rPr>
        <w:t>辅助</w:t>
      </w:r>
      <w:r>
        <w:rPr>
          <w:rFonts w:ascii="Times New Roman" w:hAnsi="Times New Roman" w:eastAsia="宋体" w:cs="Times New Roman"/>
          <w:b/>
          <w:bCs/>
          <w:color w:val="auto"/>
          <w:szCs w:val="24"/>
        </w:rPr>
        <w:t>审查）</w:t>
      </w:r>
    </w:p>
    <w:p w14:paraId="0432BC0D">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1.潜在承包人存在以下情形之一的，初步审查不予通过，否决其响应文件，不再进入后续的评审程序：</w:t>
      </w:r>
    </w:p>
    <w:p w14:paraId="61CFAE27">
      <w:pPr>
        <w:kinsoku/>
        <w:wordWrap w:val="0"/>
        <w:topLinePunct/>
        <w:autoSpaceDE/>
        <w:autoSpaceDN/>
        <w:adjustRightInd/>
        <w:snapToGrid/>
        <w:spacing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(1)总报价高于最高限价的；</w:t>
      </w:r>
    </w:p>
    <w:p w14:paraId="6FF0126E">
      <w:pPr>
        <w:kinsoku/>
        <w:wordWrap w:val="0"/>
        <w:topLinePunct/>
        <w:autoSpaceDE/>
        <w:autoSpaceDN/>
        <w:adjustRightInd/>
        <w:snapToGrid/>
        <w:spacing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(2)不同潜在承包人的响应文件检测码相同的；</w:t>
      </w:r>
    </w:p>
    <w:p w14:paraId="645FEB77">
      <w:pPr>
        <w:kinsoku/>
        <w:wordWrap w:val="0"/>
        <w:topLinePunct/>
        <w:autoSpaceDE/>
        <w:autoSpaceDN/>
        <w:adjustRightInd/>
        <w:snapToGrid/>
        <w:spacing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(3)企业资质不符合项目要求的（以招必得交易系统</w:t>
      </w:r>
      <w:r>
        <w:rPr>
          <w:rFonts w:hint="eastAsia" w:ascii="Times New Roman" w:hAnsi="Times New Roman" w:eastAsia="宋体" w:cs="Times New Roman"/>
          <w:color w:val="auto"/>
          <w:szCs w:val="24"/>
        </w:rPr>
        <w:t>“企业用户中心-资质库”内</w:t>
      </w:r>
      <w:r>
        <w:rPr>
          <w:rFonts w:ascii="Times New Roman" w:hAnsi="Times New Roman" w:eastAsia="宋体" w:cs="Times New Roman"/>
          <w:color w:val="auto"/>
          <w:szCs w:val="24"/>
        </w:rPr>
        <w:t>维护数据为准）；</w:t>
      </w:r>
    </w:p>
    <w:p w14:paraId="5C1079A6">
      <w:pPr>
        <w:kinsoku/>
        <w:wordWrap w:val="0"/>
        <w:topLinePunct/>
        <w:autoSpaceDE/>
        <w:autoSpaceDN/>
        <w:adjustRightInd/>
        <w:snapToGrid/>
        <w:spacing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(4)潜在承包人不以自己的名义或未按照</w:t>
      </w:r>
      <w:r>
        <w:rPr>
          <w:rFonts w:hint="eastAsia" w:ascii="Times New Roman" w:hAnsi="Times New Roman" w:eastAsia="宋体" w:cs="Times New Roman"/>
          <w:color w:val="auto"/>
          <w:szCs w:val="24"/>
        </w:rPr>
        <w:t>交易</w:t>
      </w:r>
      <w:r>
        <w:rPr>
          <w:rFonts w:ascii="Times New Roman" w:hAnsi="Times New Roman" w:eastAsia="宋体" w:cs="Times New Roman"/>
          <w:color w:val="auto"/>
          <w:szCs w:val="24"/>
        </w:rPr>
        <w:t>文件的要求提供交易保证金（含以保证保</w:t>
      </w:r>
      <w:r>
        <w:rPr>
          <w:rFonts w:hint="eastAsia" w:ascii="Times New Roman" w:hAnsi="Times New Roman" w:eastAsia="宋体" w:cs="Times New Roman"/>
          <w:color w:val="auto"/>
          <w:szCs w:val="24"/>
        </w:rPr>
        <w:t>险</w:t>
      </w:r>
      <w:r>
        <w:rPr>
          <w:rFonts w:ascii="Times New Roman" w:hAnsi="Times New Roman" w:eastAsia="宋体" w:cs="Times New Roman"/>
          <w:color w:val="auto"/>
          <w:szCs w:val="24"/>
        </w:rPr>
        <w:t>形式提交的交易担保但未按交易文件要求提供）；</w:t>
      </w:r>
    </w:p>
    <w:p w14:paraId="541D9D49">
      <w:pPr>
        <w:pStyle w:val="8"/>
        <w:tabs>
          <w:tab w:val="left" w:pos="1343"/>
          <w:tab w:val="left" w:pos="2697"/>
          <w:tab w:val="left" w:pos="3264"/>
          <w:tab w:val="left" w:pos="4896"/>
          <w:tab w:val="left" w:pos="6005"/>
          <w:tab w:val="left" w:pos="7085"/>
          <w:tab w:val="left" w:pos="7498"/>
        </w:tabs>
        <w:kinsoku/>
        <w:wordWrap w:val="0"/>
        <w:autoSpaceDE/>
        <w:autoSpaceDN/>
        <w:adjustRightInd/>
        <w:snapToGrid/>
        <w:spacing w:line="400" w:lineRule="exact"/>
        <w:ind w:left="0" w:firstLine="480" w:firstLineChars="200"/>
        <w:jc w:val="both"/>
        <w:rPr>
          <w:rFonts w:eastAsia="宋体" w:cs="Times New Roman"/>
          <w:color w:val="auto"/>
          <w:szCs w:val="24"/>
        </w:rPr>
      </w:pPr>
      <w:r>
        <w:rPr>
          <w:rFonts w:eastAsia="宋体" w:cs="Times New Roman"/>
          <w:color w:val="auto"/>
          <w:szCs w:val="24"/>
        </w:rPr>
        <w:t>(5)潜在承包人经城投集团认定存在不良信用行为而限制交易且在交易暂停期内。</w:t>
      </w:r>
    </w:p>
    <w:p w14:paraId="4007D915">
      <w:pPr>
        <w:widowControl w:val="0"/>
        <w:kinsoku/>
        <w:wordWrap w:val="0"/>
        <w:topLinePunct/>
        <w:autoSpaceDE/>
        <w:autoSpaceDN/>
        <w:adjustRightInd/>
        <w:snapToGrid/>
        <w:spacing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2.公开竞标：有效响应文件少于3家时，应否决全部响应文件，发包人应分析失败原因并重新组织交易。</w:t>
      </w:r>
    </w:p>
    <w:p w14:paraId="00483ED6">
      <w:pPr>
        <w:widowControl w:val="0"/>
        <w:kinsoku/>
        <w:wordWrap w:val="0"/>
        <w:topLinePunct/>
        <w:autoSpaceDE/>
        <w:autoSpaceDN/>
        <w:adjustRightInd/>
        <w:snapToGrid/>
        <w:spacing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邀请竞标：通过初步审查的有效响应文件少于3家时，应否决全部响应文件，分析失败原因并重新组织交易。原公开竞标项目因有效</w:t>
      </w:r>
      <w:r>
        <w:rPr>
          <w:rFonts w:hint="eastAsia" w:ascii="Times New Roman" w:hAnsi="Times New Roman" w:eastAsia="宋体" w:cs="Times New Roman"/>
          <w:color w:val="auto"/>
          <w:szCs w:val="24"/>
        </w:rPr>
        <w:t>响应</w:t>
      </w:r>
      <w:r>
        <w:rPr>
          <w:rFonts w:ascii="Times New Roman" w:hAnsi="Times New Roman" w:eastAsia="宋体" w:cs="Times New Roman"/>
          <w:color w:val="auto"/>
          <w:szCs w:val="24"/>
        </w:rPr>
        <w:t>不足三家，发包人重新组织再次竞标仍不足三家的且专家审查认为交易文件没有倾向性或歧视性条款而转为邀请竞标的，有效响应文件不少于2家时可继续开启响应文件。</w:t>
      </w:r>
    </w:p>
    <w:p w14:paraId="44D0CB6A">
      <w:pPr>
        <w:kinsoku/>
        <w:topLinePunct/>
        <w:spacing w:line="400" w:lineRule="exact"/>
        <w:ind w:firstLine="482" w:firstLineChars="200"/>
        <w:rPr>
          <w:rFonts w:ascii="Times New Roman" w:hAnsi="Times New Roman" w:eastAsia="宋体" w:cs="Times New Roman"/>
          <w:b/>
          <w:bCs/>
          <w:color w:val="auto"/>
          <w:szCs w:val="24"/>
        </w:rPr>
      </w:pPr>
      <w:r>
        <w:rPr>
          <w:rFonts w:ascii="Times New Roman" w:hAnsi="Times New Roman" w:eastAsia="宋体" w:cs="Times New Roman"/>
          <w:b/>
          <w:bCs/>
          <w:color w:val="auto"/>
          <w:szCs w:val="24"/>
        </w:rPr>
        <w:t>(二)确定评审区间和合理最低价</w:t>
      </w:r>
    </w:p>
    <w:p w14:paraId="153A3C8D">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1.确定评审区间</w:t>
      </w:r>
    </w:p>
    <w:p w14:paraId="11DEA28A">
      <w:pPr>
        <w:kinsoku/>
        <w:topLinePunct/>
        <w:snapToGrid/>
        <w:spacing w:line="400" w:lineRule="exact"/>
        <w:ind w:firstLine="480" w:firstLineChars="200"/>
        <w:rPr>
          <w:rFonts w:ascii="Times New Roman" w:hAnsi="Times New Roman" w:cs="Times New Roman"/>
          <w:color w:val="auto"/>
        </w:rPr>
      </w:pPr>
      <w:r>
        <w:rPr>
          <w:rFonts w:ascii="Times New Roman" w:hAnsi="Times New Roman" w:eastAsia="宋体" w:cs="Times New Roman"/>
          <w:color w:val="auto"/>
          <w:szCs w:val="24"/>
        </w:rPr>
        <w:t>所有通过初步审查的潜在承包人的报价等于或低于最高限价的为有效响应报价。</w:t>
      </w:r>
    </w:p>
    <w:p w14:paraId="3ADCAFDA">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2.确定合理最低价</w:t>
      </w:r>
    </w:p>
    <w:p w14:paraId="2D2C0A66">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(1)计算一次算术平均值：所有有效响应报价进行算术平均，得到一次算术平均值。</w:t>
      </w:r>
    </w:p>
    <w:p w14:paraId="6B8014A9">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(2)下浮系数(K值)：由发包人或代理机构在响应文件开启环节现场随机抽取，抽取区间为8%~12%，抽取间隔为0.5%且均匀分布。</w:t>
      </w:r>
    </w:p>
    <w:p w14:paraId="5EDD2621">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(3)确定合理最低价：合理最低价=一次算术平均值*(1-下浮系数)若响应报价低于合理最低价，则不进入下一步评审。</w:t>
      </w:r>
    </w:p>
    <w:p w14:paraId="3F08FA5B">
      <w:pPr>
        <w:kinsoku/>
        <w:topLinePunct/>
        <w:snapToGrid/>
        <w:spacing w:line="400" w:lineRule="exact"/>
        <w:ind w:firstLine="480" w:firstLineChars="200"/>
        <w:rPr>
          <w:rFonts w:ascii="Times New Roman" w:hAnsi="Times New Roman" w:eastAsia="宋体"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eastAsia="宋体" w:cs="Times New Roman"/>
          <w:color w:val="auto"/>
          <w:szCs w:val="24"/>
        </w:rPr>
        <w:t>(4)计算二次算术平均值：将通过第3步的剩余有效响应报价进行算术平均，得到二次算术平均值。</w:t>
      </w:r>
    </w:p>
    <w:p w14:paraId="70A41059">
      <w:pPr>
        <w:kinsoku/>
        <w:topLinePunct/>
        <w:spacing w:line="400" w:lineRule="exact"/>
        <w:ind w:firstLine="482" w:firstLineChars="200"/>
        <w:rPr>
          <w:rFonts w:ascii="Times New Roman" w:hAnsi="Times New Roman" w:eastAsia="宋体" w:cs="Times New Roman"/>
          <w:b/>
          <w:bCs/>
          <w:color w:val="auto"/>
          <w:szCs w:val="24"/>
        </w:rPr>
      </w:pPr>
      <w:r>
        <w:rPr>
          <w:rFonts w:ascii="Times New Roman" w:hAnsi="Times New Roman" w:eastAsia="宋体" w:cs="Times New Roman"/>
          <w:b/>
          <w:bCs/>
          <w:color w:val="auto"/>
          <w:szCs w:val="24"/>
        </w:rPr>
        <w:t>(三)推荐成交候选人</w:t>
      </w:r>
    </w:p>
    <w:p w14:paraId="01C68B00">
      <w:pPr>
        <w:kinsoku/>
        <w:spacing w:line="400" w:lineRule="exact"/>
        <w:ind w:firstLine="480" w:firstLineChars="200"/>
        <w:textAlignment w:val="auto"/>
        <w:rPr>
          <w:rFonts w:ascii="Times New Roman" w:hAnsi="Times New Roman" w:eastAsia="宋体" w:cs="Times New Roman"/>
          <w:color w:val="auto"/>
          <w:szCs w:val="30"/>
        </w:rPr>
      </w:pPr>
      <w:r>
        <w:rPr>
          <w:rFonts w:ascii="Times New Roman" w:hAnsi="Times New Roman" w:eastAsia="宋体" w:cs="Times New Roman"/>
          <w:color w:val="auto"/>
        </w:rPr>
        <w:t>按对响应报价等于或低于且最接近二次算术平均值的潜在承包人依次排序推荐为成交候选人。如存在报价相同的情况，随机抽取产生第一成交候选人。</w:t>
      </w:r>
    </w:p>
    <w:p w14:paraId="081CB50D">
      <w:pPr>
        <w:kinsoku/>
        <w:topLinePunct/>
        <w:spacing w:line="400" w:lineRule="exact"/>
        <w:ind w:firstLine="482" w:firstLineChars="200"/>
        <w:rPr>
          <w:rFonts w:ascii="Times New Roman" w:hAnsi="Times New Roman" w:eastAsia="宋体" w:cs="Times New Roman"/>
          <w:b/>
          <w:bCs/>
          <w:color w:val="auto"/>
          <w:szCs w:val="24"/>
        </w:rPr>
      </w:pPr>
      <w:r>
        <w:rPr>
          <w:rFonts w:ascii="Times New Roman" w:hAnsi="Times New Roman" w:eastAsia="宋体" w:cs="Times New Roman"/>
          <w:b/>
          <w:bCs/>
          <w:color w:val="auto"/>
          <w:szCs w:val="24"/>
        </w:rPr>
        <w:t>(四)符合性审查</w:t>
      </w:r>
    </w:p>
    <w:p w14:paraId="72003968">
      <w:pPr>
        <w:kinsoku/>
        <w:wordWrap w:val="0"/>
        <w:topLinePunct/>
        <w:autoSpaceDE/>
        <w:autoSpaceDN/>
        <w:adjustRightInd/>
        <w:snapToGrid/>
        <w:spacing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由发包人负责对成交候选人进行符合性审查。成交候选人存在以下情形之一的，符合性审查不予通过，取消成交候选人资格，并依序递补：</w:t>
      </w:r>
    </w:p>
    <w:p w14:paraId="76A3538E">
      <w:pPr>
        <w:widowControl w:val="0"/>
        <w:numPr>
          <w:ilvl w:val="0"/>
          <w:numId w:val="9"/>
        </w:numPr>
        <w:kinsoku/>
        <w:wordWrap w:val="0"/>
        <w:topLinePunct/>
        <w:autoSpaceDE/>
        <w:autoSpaceDN/>
        <w:adjustRightInd/>
        <w:snapToGrid/>
        <w:spacing w:line="400" w:lineRule="exact"/>
        <w:ind w:left="0"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响应报价显著偏离市场价，或措施方案（若有）与相应报价不匹配，而潜在承包人拒绝按要求提供报价分析说明和证明材料的；</w:t>
      </w:r>
    </w:p>
    <w:p w14:paraId="0AEBC71E">
      <w:pPr>
        <w:widowControl w:val="0"/>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未按照交易文件要求提供与资格条件相应的有效资格证明材料的，或资格证明材料不满足交易公告载明的企业资质、项目负责人、业绩条件要求的；</w:t>
      </w:r>
    </w:p>
    <w:p w14:paraId="2666D438">
      <w:pPr>
        <w:widowControl w:val="0"/>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lang w:val="zh-CN"/>
        </w:rPr>
        <w:t>响应</w:t>
      </w:r>
      <w:r>
        <w:rPr>
          <w:rFonts w:ascii="Times New Roman" w:hAnsi="Times New Roman" w:eastAsia="宋体" w:cs="Times New Roman"/>
          <w:color w:val="auto"/>
          <w:szCs w:val="24"/>
        </w:rPr>
        <w:t>文件未按交易文件规定的格式填写，或关键内容缺失的；</w:t>
      </w:r>
    </w:p>
    <w:p w14:paraId="21F10DAD">
      <w:pPr>
        <w:widowControl w:val="0"/>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lang w:val="zh-CN"/>
        </w:rPr>
      </w:pPr>
      <w:r>
        <w:rPr>
          <w:rFonts w:ascii="Times New Roman" w:hAnsi="Times New Roman" w:eastAsia="宋体" w:cs="Times New Roman"/>
          <w:color w:val="auto"/>
          <w:szCs w:val="24"/>
          <w:lang w:val="zh-CN"/>
        </w:rPr>
        <w:t>响应文件未按交易文件规定的格式要求签字和盖章的；</w:t>
      </w:r>
    </w:p>
    <w:p w14:paraId="40FF4214">
      <w:pPr>
        <w:widowControl w:val="0"/>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lang w:val="zh-CN"/>
        </w:rPr>
      </w:pPr>
      <w:r>
        <w:rPr>
          <w:rFonts w:ascii="Times New Roman" w:hAnsi="Times New Roman" w:eastAsia="宋体" w:cs="Times New Roman"/>
          <w:color w:val="auto"/>
          <w:szCs w:val="24"/>
        </w:rPr>
        <w:t xml:space="preserve">响应文件未按交易文件规定的格式要求，经法定代表人(或提供有效“授权委托书”的委托代理人)签字和盖章的； </w:t>
      </w:r>
    </w:p>
    <w:p w14:paraId="3617D98C">
      <w:pPr>
        <w:widowControl w:val="0"/>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潜在承包人递交两份或多份内容不同的响应文件，或在一份响应文件中对同一项目报有两个或多个报价，或出现多个潜在承包人单位名称、项目负责人，且未声明哪一个有效的，按交易文件规定提交备选响应方案的除外；</w:t>
      </w:r>
    </w:p>
    <w:p w14:paraId="1DE58EC6">
      <w:pPr>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lang w:val="zh-CN"/>
        </w:rPr>
      </w:pPr>
      <w:r>
        <w:rPr>
          <w:rFonts w:ascii="Times New Roman" w:hAnsi="Times New Roman" w:eastAsia="宋体" w:cs="Times New Roman"/>
          <w:color w:val="auto"/>
          <w:szCs w:val="24"/>
          <w:lang w:val="zh-CN"/>
        </w:rPr>
        <w:t>C类证书专职安全生产管理人员配备不符合规定；</w:t>
      </w:r>
    </w:p>
    <w:p w14:paraId="7AF470F6">
      <w:pPr>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lang w:val="zh-CN"/>
        </w:rPr>
      </w:pPr>
      <w:r>
        <w:rPr>
          <w:rFonts w:ascii="Times New Roman" w:hAnsi="Times New Roman" w:eastAsia="宋体" w:cs="Times New Roman"/>
          <w:color w:val="auto"/>
          <w:szCs w:val="24"/>
          <w:lang w:val="zh-CN"/>
        </w:rPr>
        <w:t>拟派驻现场关键岗位人员个数及合同、社保缴纳证明不符合交易文件要求。</w:t>
      </w:r>
    </w:p>
    <w:p w14:paraId="729AA114">
      <w:pPr>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改变交易文件明确的暂定不竞争内容的；</w:t>
      </w:r>
    </w:p>
    <w:p w14:paraId="41E0CB7C">
      <w:pPr>
        <w:widowControl w:val="0"/>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 xml:space="preserve">响应文件含有发包人不能接受的附加条件的； </w:t>
      </w:r>
    </w:p>
    <w:p w14:paraId="257D1319">
      <w:pPr>
        <w:widowControl w:val="0"/>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提供虚假材料参与交易的；</w:t>
      </w:r>
    </w:p>
    <w:p w14:paraId="42E5DAB0">
      <w:pPr>
        <w:numPr>
          <w:ilvl w:val="0"/>
          <w:numId w:val="9"/>
        </w:numPr>
        <w:kinsoku/>
        <w:wordWrap w:val="0"/>
        <w:topLinePunct/>
        <w:autoSpaceDE/>
        <w:autoSpaceDN/>
        <w:adjustRightInd/>
        <w:snapToGrid/>
        <w:spacing w:line="400" w:lineRule="exact"/>
        <w:ind w:left="0"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响应文件不能满足交易文件载明的实质性要求的，包括但不限于响应文件</w:t>
      </w:r>
      <w:r>
        <w:rPr>
          <w:rFonts w:ascii="Times New Roman" w:hAnsi="Times New Roman" w:eastAsia="宋体" w:cs="Times New Roman"/>
          <w:color w:val="auto"/>
          <w:szCs w:val="24"/>
          <w:lang w:val="zh-CN"/>
        </w:rPr>
        <w:t>不能满足交易文件载明的</w:t>
      </w:r>
      <w:r>
        <w:rPr>
          <w:rFonts w:ascii="Times New Roman" w:hAnsi="Times New Roman" w:eastAsia="宋体" w:cs="Times New Roman"/>
          <w:color w:val="auto"/>
          <w:szCs w:val="24"/>
        </w:rPr>
        <w:t>工程质量、工程验收标准、施工工期、保修期要求的；</w:t>
      </w:r>
    </w:p>
    <w:p w14:paraId="01FC1B29">
      <w:pPr>
        <w:widowControl w:val="0"/>
        <w:numPr>
          <w:ilvl w:val="0"/>
          <w:numId w:val="9"/>
        </w:numPr>
        <w:wordWrap w:val="0"/>
        <w:topLinePunct/>
        <w:autoSpaceDE/>
        <w:autoSpaceDN/>
        <w:adjustRightInd/>
        <w:snapToGrid/>
        <w:spacing w:line="400" w:lineRule="exact"/>
        <w:ind w:left="0" w:firstLine="480" w:firstLineChars="200"/>
        <w:rPr>
          <w:rFonts w:ascii="Times New Roman" w:hAnsi="Times New Roman" w:eastAsia="宋体" w:cs="Times New Roman"/>
          <w:color w:val="auto"/>
        </w:rPr>
      </w:pPr>
      <w:r>
        <w:rPr>
          <w:rFonts w:ascii="Times New Roman" w:hAnsi="Times New Roman" w:eastAsia="宋体" w:cs="Times New Roman"/>
          <w:color w:val="auto"/>
          <w:szCs w:val="24"/>
        </w:rPr>
        <w:t>潜在承包人未按交易须知1.4.4项规定执行的；</w:t>
      </w:r>
    </w:p>
    <w:p w14:paraId="193E1C98">
      <w:pPr>
        <w:numPr>
          <w:ilvl w:val="0"/>
          <w:numId w:val="9"/>
        </w:numPr>
        <w:kinsoku/>
        <w:wordWrap w:val="0"/>
        <w:topLinePunct/>
        <w:autoSpaceDE/>
        <w:autoSpaceDN/>
        <w:adjustRightInd/>
        <w:snapToGrid/>
        <w:spacing w:line="400" w:lineRule="exact"/>
        <w:ind w:left="0"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法律法规、规章及规范性文件规定其他应否决响应文件的情形；</w:t>
      </w:r>
    </w:p>
    <w:p w14:paraId="6B4BA7CF">
      <w:pPr>
        <w:kinsoku/>
        <w:ind w:firstLine="482" w:firstLineChars="200"/>
        <w:rPr>
          <w:rFonts w:ascii="Times New Roman" w:hAnsi="Times New Roman" w:eastAsia="宋体" w:cs="Times New Roman"/>
          <w:color w:val="auto"/>
          <w:sz w:val="30"/>
          <w:szCs w:val="30"/>
        </w:rPr>
      </w:pPr>
      <w:r>
        <w:rPr>
          <w:rFonts w:ascii="Times New Roman" w:hAnsi="Times New Roman" w:eastAsia="宋体" w:cs="Times New Roman"/>
          <w:b/>
          <w:bCs/>
          <w:color w:val="auto"/>
          <w:szCs w:val="24"/>
        </w:rPr>
        <w:t>2.符合性审查最终通过的成交候选人数量</w:t>
      </w:r>
      <w:r>
        <w:rPr>
          <w:rFonts w:hint="eastAsia" w:ascii="Times New Roman" w:hAnsi="Times New Roman" w:eastAsia="宋体" w:cs="Times New Roman"/>
          <w:b/>
          <w:bCs/>
          <w:color w:val="auto"/>
          <w:szCs w:val="24"/>
        </w:rPr>
        <w:t>不满足</w:t>
      </w:r>
      <w:r>
        <w:rPr>
          <w:rFonts w:ascii="Times New Roman" w:hAnsi="Times New Roman" w:eastAsia="宋体" w:cs="Times New Roman"/>
          <w:b/>
          <w:bCs/>
          <w:color w:val="auto"/>
          <w:szCs w:val="24"/>
        </w:rPr>
        <w:t>交易须知前附表规定的要求时，</w:t>
      </w:r>
      <w:r>
        <w:rPr>
          <w:rFonts w:ascii="Times New Roman" w:hAnsi="Times New Roman" w:eastAsia="宋体" w:cs="Times New Roman"/>
          <w:color w:val="auto"/>
          <w:szCs w:val="24"/>
        </w:rPr>
        <w:t>应判定本次交易是否具有竞争力。若发包人认为本次交易明显缺乏竞争力的，可以否决全部响应文件重新组织交易</w:t>
      </w:r>
      <w:r>
        <w:rPr>
          <w:rFonts w:ascii="Times New Roman" w:hAnsi="Times New Roman" w:eastAsia="宋体" w:cs="Times New Roman"/>
          <w:szCs w:val="24"/>
        </w:rPr>
        <w:t>。</w:t>
      </w:r>
      <w:r>
        <w:rPr>
          <w:rFonts w:ascii="Times New Roman" w:hAnsi="Times New Roman" w:eastAsia="宋体" w:cs="Times New Roman"/>
          <w:color w:val="auto"/>
          <w:sz w:val="30"/>
          <w:szCs w:val="30"/>
        </w:rPr>
        <w:br w:type="page"/>
      </w:r>
    </w:p>
    <w:p w14:paraId="244A278F">
      <w:pPr>
        <w:pStyle w:val="2"/>
        <w:ind w:left="0" w:firstLine="0"/>
        <w:rPr>
          <w:rFonts w:ascii="Times New Roman" w:hAnsi="Times New Roman" w:cs="Times New Roman"/>
          <w:b w:val="0"/>
          <w:bCs w:val="0"/>
          <w:color w:val="auto"/>
          <w:spacing w:val="-6"/>
          <w14:textOutline w14:w="8712" w14:cap="flat" w14:cmpd="sng" w14:algn="ctr">
            <w14:solidFill>
              <w14:srgbClr w14:val="000000"/>
            </w14:solidFill>
            <w14:prstDash w14:val="solid"/>
            <w14:miter w14:val="0"/>
          </w14:textOutline>
        </w:rPr>
      </w:pPr>
      <w:r>
        <w:rPr>
          <w:rFonts w:ascii="Times New Roman" w:hAnsi="Times New Roman" w:cs="Times New Roman"/>
          <w:b w:val="0"/>
          <w:bCs w:val="0"/>
          <w:color w:val="auto"/>
          <w:spacing w:val="-6"/>
          <w14:textOutline w14:w="8712" w14:cap="flat" w14:cmpd="sng" w14:algn="ctr">
            <w14:solidFill>
              <w14:srgbClr w14:val="000000"/>
            </w14:solidFill>
            <w14:prstDash w14:val="solid"/>
            <w14:miter w14:val="0"/>
          </w14:textOutline>
        </w:rPr>
        <w:t>第四章 合同条款及格式</w:t>
      </w:r>
    </w:p>
    <w:p w14:paraId="6833552F">
      <w:pPr>
        <w:kinsoku/>
        <w:topLinePunct/>
        <w:rPr>
          <w:rFonts w:ascii="Times New Roman" w:hAnsi="Times New Roman" w:eastAsia="宋体" w:cs="Times New Roman"/>
          <w:color w:val="auto"/>
          <w:szCs w:val="24"/>
        </w:rPr>
      </w:pPr>
    </w:p>
    <w:p w14:paraId="42101EA1">
      <w:pPr>
        <w:rPr>
          <w:rFonts w:ascii="宋体" w:hAnsi="宋体" w:cs="宋体"/>
          <w:sz w:val="24"/>
          <w:highlight w:val="none"/>
          <w:u w:val="single"/>
        </w:rPr>
      </w:pPr>
      <w:r>
        <w:rPr>
          <w:rFonts w:ascii="Times New Roman" w:hAnsi="Times New Roman" w:eastAsia="宋体" w:cs="Times New Roman"/>
          <w:color w:val="auto"/>
          <w:szCs w:val="24"/>
        </w:rPr>
        <w:t>　　</w:t>
      </w:r>
      <w:r>
        <w:rPr>
          <w:rFonts w:ascii="Times New Roman" w:hAnsi="Times New Roman" w:eastAsia="宋体" w:cs="Times New Roman"/>
          <w:color w:val="auto"/>
          <w:szCs w:val="24"/>
          <w:highlight w:val="none"/>
        </w:rPr>
        <w:t>　</w:t>
      </w:r>
      <w:r>
        <w:rPr>
          <w:rFonts w:hint="eastAsia" w:ascii="宋体" w:hAnsi="宋体" w:cs="宋体"/>
          <w:sz w:val="24"/>
          <w:highlight w:val="none"/>
        </w:rPr>
        <w:t>合同编号：</w:t>
      </w:r>
      <w:r>
        <w:rPr>
          <w:rFonts w:hint="eastAsia" w:ascii="宋体" w:hAnsi="宋体" w:cs="宋体"/>
          <w:sz w:val="24"/>
          <w:highlight w:val="none"/>
          <w:u w:val="single"/>
        </w:rPr>
        <w:t xml:space="preserve"> LJGS-2026-          </w:t>
      </w:r>
    </w:p>
    <w:p w14:paraId="39161B3C">
      <w:pPr>
        <w:spacing w:line="480" w:lineRule="auto"/>
        <w:jc w:val="both"/>
        <w:rPr>
          <w:rFonts w:hint="eastAsia" w:ascii="宋体" w:hAnsi="宋体" w:cs="宋体"/>
          <w:b/>
          <w:sz w:val="36"/>
          <w:szCs w:val="36"/>
          <w:highlight w:val="none"/>
        </w:rPr>
      </w:pPr>
    </w:p>
    <w:p w14:paraId="501F923C">
      <w:pPr>
        <w:spacing w:line="480" w:lineRule="auto"/>
        <w:jc w:val="center"/>
        <w:rPr>
          <w:rFonts w:ascii="宋体" w:hAnsi="宋体" w:cs="宋体"/>
          <w:b/>
          <w:sz w:val="36"/>
          <w:szCs w:val="36"/>
          <w:highlight w:val="none"/>
        </w:rPr>
      </w:pPr>
      <w:r>
        <w:rPr>
          <w:rFonts w:hint="eastAsia" w:ascii="宋体" w:hAnsi="宋体" w:cs="宋体"/>
          <w:b/>
          <w:sz w:val="36"/>
          <w:szCs w:val="36"/>
          <w:highlight w:val="none"/>
          <w:lang w:val="en-US" w:eastAsia="zh-CN"/>
        </w:rPr>
        <w:t>施工</w:t>
      </w:r>
      <w:r>
        <w:rPr>
          <w:rFonts w:hint="eastAsia" w:ascii="宋体" w:hAnsi="宋体" w:cs="宋体"/>
          <w:b/>
          <w:sz w:val="36"/>
          <w:szCs w:val="36"/>
          <w:highlight w:val="none"/>
        </w:rPr>
        <w:t>合同</w:t>
      </w:r>
    </w:p>
    <w:p w14:paraId="3777BC1D">
      <w:pPr>
        <w:spacing w:before="120" w:line="22" w:lineRule="atLeast"/>
        <w:rPr>
          <w:rFonts w:ascii="宋体" w:hAnsi="宋体" w:cs="宋体"/>
          <w:sz w:val="24"/>
          <w:highlight w:val="none"/>
        </w:rPr>
      </w:pPr>
    </w:p>
    <w:p w14:paraId="70795F35">
      <w:pPr>
        <w:pStyle w:val="3"/>
        <w:tabs>
          <w:tab w:val="left" w:pos="432"/>
        </w:tabs>
        <w:rPr>
          <w:highlight w:val="none"/>
        </w:rPr>
      </w:pPr>
      <w:r>
        <w:rPr>
          <w:rFonts w:hint="eastAsia"/>
          <w:highlight w:val="none"/>
        </w:rPr>
        <w:t xml:space="preserve">              </w:t>
      </w:r>
    </w:p>
    <w:p w14:paraId="46D2B1CE">
      <w:pPr>
        <w:spacing w:before="120" w:line="22" w:lineRule="atLeast"/>
        <w:ind w:left="960"/>
        <w:rPr>
          <w:rFonts w:ascii="宋体" w:hAnsi="宋体" w:cs="宋体"/>
          <w:sz w:val="24"/>
          <w:highlight w:val="none"/>
        </w:rPr>
      </w:pPr>
      <w:r>
        <w:rPr>
          <w:rFonts w:hint="eastAsia" w:ascii="宋体" w:hAnsi="宋体" w:cs="宋体"/>
          <w:sz w:val="24"/>
          <w:highlight w:val="none"/>
        </w:rPr>
        <w:t>项</w:t>
      </w:r>
      <w:r>
        <w:rPr>
          <w:rFonts w:hint="eastAsia" w:ascii="宋体" w:hAnsi="宋体" w:cs="宋体"/>
          <w:sz w:val="24"/>
          <w:highlight w:val="none"/>
          <w:lang w:val="en-US" w:eastAsia="zh-CN"/>
        </w:rPr>
        <w:t xml:space="preserve">  </w:t>
      </w:r>
      <w:r>
        <w:rPr>
          <w:rFonts w:hint="eastAsia" w:ascii="宋体" w:hAnsi="宋体" w:cs="宋体"/>
          <w:sz w:val="24"/>
          <w:highlight w:val="none"/>
        </w:rPr>
        <w:t>目</w:t>
      </w:r>
      <w:r>
        <w:rPr>
          <w:rFonts w:hint="eastAsia" w:ascii="宋体" w:hAnsi="宋体" w:cs="宋体"/>
          <w:sz w:val="24"/>
          <w:highlight w:val="none"/>
          <w:lang w:val="en-US" w:eastAsia="zh-CN"/>
        </w:rPr>
        <w:t xml:space="preserve">  </w:t>
      </w:r>
      <w:r>
        <w:rPr>
          <w:rFonts w:hint="eastAsia" w:ascii="宋体" w:hAnsi="宋体" w:cs="宋体"/>
          <w:sz w:val="24"/>
          <w:highlight w:val="none"/>
        </w:rPr>
        <w:t>名</w:t>
      </w:r>
      <w:r>
        <w:rPr>
          <w:rFonts w:hint="eastAsia" w:ascii="宋体" w:hAnsi="宋体" w:cs="宋体"/>
          <w:sz w:val="24"/>
          <w:highlight w:val="none"/>
          <w:lang w:val="en-US" w:eastAsia="zh-CN"/>
        </w:rPr>
        <w:t xml:space="preserve">  </w:t>
      </w:r>
      <w:r>
        <w:rPr>
          <w:rFonts w:hint="eastAsia" w:ascii="宋体" w:hAnsi="宋体" w:cs="宋体"/>
          <w:sz w:val="24"/>
          <w:highlight w:val="none"/>
        </w:rPr>
        <w:t>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临江公司2026年布袋净气室防腐工程施工</w:t>
      </w:r>
      <w:r>
        <w:rPr>
          <w:rFonts w:hint="eastAsia" w:ascii="宋体" w:hAnsi="宋体" w:cs="宋体"/>
          <w:sz w:val="24"/>
          <w:highlight w:val="none"/>
          <w:u w:val="single"/>
        </w:rPr>
        <w:t xml:space="preserve">    </w:t>
      </w:r>
    </w:p>
    <w:p w14:paraId="48D80D79">
      <w:pPr>
        <w:rPr>
          <w:rFonts w:ascii="宋体" w:hAnsi="宋体" w:cs="宋体"/>
          <w:sz w:val="24"/>
          <w:highlight w:val="none"/>
        </w:rPr>
      </w:pPr>
    </w:p>
    <w:p w14:paraId="3EEA3E28">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hint="eastAsia" w:ascii="宋体" w:hAnsi="宋体" w:cs="宋体"/>
          <w:sz w:val="24"/>
          <w:highlight w:val="none"/>
          <w:lang w:val="en-US" w:eastAsia="zh-CN"/>
        </w:rPr>
        <w:t xml:space="preserve"> </w:t>
      </w:r>
      <w:r>
        <w:rPr>
          <w:rFonts w:hint="eastAsia" w:ascii="宋体" w:hAnsi="宋体" w:cs="宋体"/>
          <w:sz w:val="24"/>
          <w:highlight w:val="none"/>
        </w:rPr>
        <w:t>方</w:t>
      </w:r>
      <w:r>
        <w:rPr>
          <w:rFonts w:hint="eastAsia" w:ascii="宋体" w:hAnsi="宋体" w:cs="宋体"/>
          <w:sz w:val="24"/>
          <w:highlight w:val="none"/>
          <w:lang w:eastAsia="zh-CN"/>
        </w:rPr>
        <w:t>（</w:t>
      </w:r>
      <w:r>
        <w:rPr>
          <w:rFonts w:hint="eastAsia" w:ascii="宋体" w:hAnsi="宋体" w:cs="宋体"/>
          <w:sz w:val="24"/>
          <w:highlight w:val="none"/>
          <w:lang w:val="en-US" w:eastAsia="zh-CN"/>
        </w:rPr>
        <w:t>发包人</w:t>
      </w:r>
      <w:r>
        <w:rPr>
          <w:rFonts w:hint="eastAsia" w:ascii="宋体" w:hAnsi="宋体" w:cs="宋体"/>
          <w:sz w:val="24"/>
          <w:highlight w:val="none"/>
          <w:lang w:eastAsia="zh-CN"/>
        </w:rPr>
        <w:t>）</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p>
    <w:p w14:paraId="31033203">
      <w:pPr>
        <w:spacing w:before="120" w:line="22" w:lineRule="atLeast"/>
        <w:rPr>
          <w:rFonts w:ascii="宋体" w:hAnsi="宋体" w:cs="宋体"/>
          <w:sz w:val="24"/>
          <w:highlight w:val="none"/>
        </w:rPr>
      </w:pPr>
    </w:p>
    <w:p w14:paraId="59951DEC">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hint="eastAsia" w:ascii="宋体" w:hAnsi="宋体" w:cs="宋体"/>
          <w:sz w:val="24"/>
          <w:highlight w:val="none"/>
          <w:lang w:val="en-US" w:eastAsia="zh-CN"/>
        </w:rPr>
        <w:t xml:space="preserve"> </w:t>
      </w:r>
      <w:r>
        <w:rPr>
          <w:rFonts w:hint="eastAsia" w:ascii="宋体" w:hAnsi="宋体" w:cs="宋体"/>
          <w:sz w:val="24"/>
          <w:highlight w:val="none"/>
        </w:rPr>
        <w:t>方</w:t>
      </w:r>
      <w:r>
        <w:rPr>
          <w:rFonts w:hint="eastAsia" w:ascii="宋体" w:hAnsi="宋体" w:cs="宋体"/>
          <w:sz w:val="24"/>
          <w:highlight w:val="none"/>
          <w:lang w:eastAsia="zh-CN"/>
        </w:rPr>
        <w:t>（</w:t>
      </w:r>
      <w:r>
        <w:rPr>
          <w:rFonts w:hint="eastAsia" w:ascii="宋体" w:hAnsi="宋体" w:cs="宋体"/>
          <w:sz w:val="24"/>
          <w:highlight w:val="none"/>
          <w:lang w:val="en-US" w:eastAsia="zh-CN"/>
        </w:rPr>
        <w:t>承包人</w:t>
      </w:r>
      <w:r>
        <w:rPr>
          <w:rFonts w:hint="eastAsia" w:ascii="宋体" w:hAnsi="宋体" w:cs="宋体"/>
          <w:sz w:val="24"/>
          <w:highlight w:val="none"/>
          <w:lang w:eastAsia="zh-CN"/>
        </w:rPr>
        <w:t>）</w:t>
      </w:r>
      <w:r>
        <w:rPr>
          <w:rFonts w:hint="eastAsia" w:ascii="宋体" w:hAnsi="宋体" w:cs="宋体"/>
          <w:sz w:val="24"/>
          <w:highlight w:val="none"/>
        </w:rPr>
        <w:t>：</w:t>
      </w:r>
      <w:r>
        <w:rPr>
          <w:rFonts w:hint="eastAsia" w:ascii="宋体" w:hAnsi="宋体" w:cs="宋体"/>
          <w:sz w:val="24"/>
          <w:highlight w:val="none"/>
          <w:u w:val="single"/>
        </w:rPr>
        <w:t xml:space="preserve">                      </w:t>
      </w:r>
    </w:p>
    <w:p w14:paraId="034C3057">
      <w:pPr>
        <w:spacing w:before="120" w:line="22" w:lineRule="atLeast"/>
        <w:rPr>
          <w:rFonts w:ascii="宋体" w:hAnsi="宋体" w:cs="宋体"/>
          <w:sz w:val="24"/>
          <w:highlight w:val="none"/>
        </w:rPr>
      </w:pPr>
    </w:p>
    <w:p w14:paraId="55B79A78">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hint="eastAsia" w:ascii="宋体" w:hAnsi="宋体" w:cs="宋体"/>
          <w:sz w:val="24"/>
          <w:highlight w:val="none"/>
          <w:lang w:val="en-US" w:eastAsia="zh-CN"/>
        </w:rPr>
        <w:t xml:space="preserve">   </w:t>
      </w:r>
      <w:r>
        <w:rPr>
          <w:rFonts w:hint="eastAsia" w:ascii="宋体" w:hAnsi="宋体" w:cs="宋体"/>
          <w:sz w:val="24"/>
          <w:highlight w:val="none"/>
        </w:rPr>
        <w:t>订</w:t>
      </w:r>
      <w:r>
        <w:rPr>
          <w:rFonts w:hint="eastAsia" w:ascii="宋体" w:hAnsi="宋体" w:cs="宋体"/>
          <w:sz w:val="24"/>
          <w:highlight w:val="none"/>
          <w:lang w:val="en-US" w:eastAsia="zh-CN"/>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14:paraId="7847655B">
      <w:pPr>
        <w:spacing w:before="120" w:line="22" w:lineRule="atLeast"/>
        <w:rPr>
          <w:rFonts w:ascii="宋体" w:hAnsi="宋体" w:cs="宋体"/>
          <w:sz w:val="24"/>
          <w:highlight w:val="none"/>
        </w:rPr>
      </w:pPr>
    </w:p>
    <w:p w14:paraId="645230E0">
      <w:pPr>
        <w:spacing w:before="120" w:line="22" w:lineRule="atLeast"/>
        <w:ind w:firstLine="960" w:firstLineChars="400"/>
        <w:rPr>
          <w:rFonts w:ascii="宋体" w:hAnsi="宋体" w:cs="宋体"/>
          <w:kern w:val="0"/>
          <w:sz w:val="24"/>
          <w:highlight w:val="none"/>
        </w:rPr>
        <w:sectPr>
          <w:headerReference r:id="rId12" w:type="default"/>
          <w:footerReference r:id="rId13" w:type="default"/>
          <w:pgSz w:w="11907" w:h="16840"/>
          <w:pgMar w:top="1474" w:right="1814" w:bottom="1474" w:left="1814" w:header="851" w:footer="851" w:gutter="0"/>
          <w:cols w:space="720" w:num="1"/>
        </w:sectPr>
      </w:pPr>
      <w:r>
        <w:rPr>
          <w:rFonts w:hint="eastAsia" w:ascii="宋体" w:hAnsi="宋体" w:cs="宋体"/>
          <w:sz w:val="24"/>
          <w:highlight w:val="none"/>
        </w:rPr>
        <w:t>签</w:t>
      </w:r>
      <w:r>
        <w:rPr>
          <w:rFonts w:hint="eastAsia" w:ascii="宋体" w:hAnsi="宋体" w:cs="宋体"/>
          <w:sz w:val="24"/>
          <w:highlight w:val="none"/>
          <w:lang w:val="en-US" w:eastAsia="zh-CN"/>
        </w:rPr>
        <w:t xml:space="preserve">  </w:t>
      </w:r>
      <w:r>
        <w:rPr>
          <w:rFonts w:hint="eastAsia" w:ascii="宋体" w:hAnsi="宋体" w:cs="宋体"/>
          <w:sz w:val="24"/>
          <w:highlight w:val="none"/>
        </w:rPr>
        <w:t>订</w:t>
      </w:r>
      <w:r>
        <w:rPr>
          <w:rFonts w:hint="eastAsia" w:ascii="宋体" w:hAnsi="宋体" w:cs="宋体"/>
          <w:sz w:val="24"/>
          <w:highlight w:val="none"/>
          <w:lang w:val="en-US" w:eastAsia="zh-CN"/>
        </w:rPr>
        <w:t xml:space="preserve">  </w:t>
      </w:r>
      <w:r>
        <w:rPr>
          <w:rFonts w:hint="eastAsia" w:ascii="宋体" w:hAnsi="宋体" w:cs="宋体"/>
          <w:sz w:val="24"/>
          <w:highlight w:val="none"/>
        </w:rPr>
        <w:t>日</w:t>
      </w:r>
      <w:r>
        <w:rPr>
          <w:rFonts w:hint="eastAsia" w:ascii="宋体" w:hAnsi="宋体" w:cs="宋体"/>
          <w:sz w:val="24"/>
          <w:highlight w:val="none"/>
          <w:lang w:val="en-US" w:eastAsia="zh-CN"/>
        </w:rPr>
        <w:t xml:space="preserve">  </w:t>
      </w:r>
      <w:r>
        <w:rPr>
          <w:rFonts w:hint="eastAsia" w:ascii="宋体" w:hAnsi="宋体" w:cs="宋体"/>
          <w:sz w:val="24"/>
          <w:highlight w:val="none"/>
        </w:rPr>
        <w:t>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p>
    <w:p w14:paraId="03195430">
      <w:pPr>
        <w:pageBreakBefore w:val="0"/>
        <w:widowControl/>
        <w:wordWrap/>
        <w:overflowPunct/>
        <w:topLinePunct w:val="0"/>
        <w:bidi w:val="0"/>
        <w:spacing w:line="440" w:lineRule="exact"/>
        <w:ind w:left="0" w:leftChars="0"/>
        <w:jc w:val="both"/>
        <w:rPr>
          <w:rFonts w:hint="eastAsia" w:ascii="宋体" w:hAnsi="宋体" w:eastAsia="宋体" w:cs="宋体"/>
          <w:b/>
          <w:color w:val="000000"/>
          <w:sz w:val="24"/>
          <w:szCs w:val="24"/>
          <w:highlight w:val="none"/>
          <w:u w:val="single"/>
        </w:rPr>
      </w:pPr>
      <w:r>
        <w:rPr>
          <w:rFonts w:hint="eastAsia" w:ascii="宋体" w:hAnsi="宋体" w:eastAsia="宋体" w:cs="宋体"/>
          <w:b/>
          <w:color w:val="000000"/>
          <w:sz w:val="24"/>
          <w:szCs w:val="24"/>
          <w:highlight w:val="none"/>
        </w:rPr>
        <w:t>甲方（</w:t>
      </w:r>
      <w:r>
        <w:rPr>
          <w:rFonts w:hint="eastAsia" w:ascii="宋体" w:hAnsi="宋体" w:eastAsia="宋体" w:cs="宋体"/>
          <w:b/>
          <w:color w:val="000000"/>
          <w:sz w:val="24"/>
          <w:szCs w:val="24"/>
          <w:highlight w:val="none"/>
          <w:lang w:val="en-US" w:eastAsia="zh-CN"/>
        </w:rPr>
        <w:t>发包人</w:t>
      </w:r>
      <w:r>
        <w:rPr>
          <w:rFonts w:hint="eastAsia" w:ascii="宋体" w:hAnsi="宋体" w:eastAsia="宋体" w:cs="宋体"/>
          <w:b/>
          <w:color w:val="000000"/>
          <w:sz w:val="24"/>
          <w:szCs w:val="24"/>
          <w:highlight w:val="none"/>
        </w:rPr>
        <w:t>）：</w:t>
      </w:r>
      <w:r>
        <w:rPr>
          <w:rFonts w:hint="eastAsia" w:ascii="宋体" w:hAnsi="宋体" w:eastAsia="宋体" w:cs="宋体"/>
          <w:b/>
          <w:color w:val="000000"/>
          <w:sz w:val="24"/>
          <w:szCs w:val="24"/>
          <w:highlight w:val="none"/>
          <w:u w:val="single"/>
          <w:lang w:val="en-US" w:eastAsia="zh-CN"/>
        </w:rPr>
        <w:t xml:space="preserve">  杭州临江环境能源有限公司  </w:t>
      </w:r>
      <w:r>
        <w:rPr>
          <w:rFonts w:hint="eastAsia" w:ascii="宋体" w:hAnsi="宋体" w:eastAsia="宋体" w:cs="宋体"/>
          <w:b/>
          <w:color w:val="000000"/>
          <w:sz w:val="24"/>
          <w:szCs w:val="24"/>
          <w:highlight w:val="none"/>
          <w:u w:val="single"/>
        </w:rPr>
        <w:t xml:space="preserve"> </w:t>
      </w:r>
    </w:p>
    <w:p w14:paraId="26E24706">
      <w:pPr>
        <w:pageBreakBefore w:val="0"/>
        <w:widowControl/>
        <w:wordWrap/>
        <w:overflowPunct/>
        <w:topLinePunct w:val="0"/>
        <w:bidi w:val="0"/>
        <w:spacing w:line="440" w:lineRule="exact"/>
        <w:jc w:val="both"/>
        <w:rPr>
          <w:rFonts w:hint="eastAsia" w:ascii="宋体" w:hAnsi="宋体" w:eastAsia="宋体" w:cs="宋体"/>
          <w:b/>
          <w:color w:val="000000"/>
          <w:sz w:val="24"/>
          <w:szCs w:val="24"/>
          <w:highlight w:val="none"/>
          <w:u w:val="single"/>
          <w:lang w:val="en-US" w:eastAsia="zh-CN"/>
        </w:rPr>
      </w:pPr>
      <w:r>
        <w:rPr>
          <w:rFonts w:hint="eastAsia" w:ascii="宋体" w:hAnsi="宋体" w:eastAsia="宋体" w:cs="宋体"/>
          <w:b/>
          <w:color w:val="000000"/>
          <w:sz w:val="24"/>
          <w:szCs w:val="24"/>
          <w:highlight w:val="none"/>
        </w:rPr>
        <w:t>乙方（</w:t>
      </w:r>
      <w:r>
        <w:rPr>
          <w:rFonts w:hint="eastAsia" w:ascii="宋体" w:hAnsi="宋体" w:eastAsia="宋体" w:cs="宋体"/>
          <w:b/>
          <w:color w:val="000000"/>
          <w:sz w:val="24"/>
          <w:szCs w:val="24"/>
          <w:highlight w:val="none"/>
          <w:lang w:val="en-US" w:eastAsia="zh-CN"/>
        </w:rPr>
        <w:t>承包人</w:t>
      </w:r>
      <w:r>
        <w:rPr>
          <w:rFonts w:hint="eastAsia" w:ascii="宋体" w:hAnsi="宋体" w:eastAsia="宋体" w:cs="宋体"/>
          <w:b/>
          <w:color w:val="000000"/>
          <w:sz w:val="24"/>
          <w:szCs w:val="24"/>
          <w:highlight w:val="none"/>
        </w:rPr>
        <w:t>）：</w:t>
      </w:r>
      <w:r>
        <w:rPr>
          <w:rFonts w:hint="eastAsia" w:ascii="宋体" w:hAnsi="宋体" w:eastAsia="宋体" w:cs="宋体"/>
          <w:b/>
          <w:color w:val="000000"/>
          <w:sz w:val="24"/>
          <w:szCs w:val="24"/>
          <w:highlight w:val="none"/>
          <w:u w:val="single"/>
          <w:lang w:val="en-US" w:eastAsia="zh-CN"/>
        </w:rPr>
        <w:t xml:space="preserve">                             </w:t>
      </w:r>
    </w:p>
    <w:p w14:paraId="0C6E4389">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根据《中华人民共和国建筑法》《建设工程质量管理条例》及其国家和工程所在地的适用于工程的包括但不限于</w:t>
      </w:r>
      <w:r>
        <w:rPr>
          <w:rFonts w:hint="eastAsia" w:ascii="宋体" w:hAnsi="宋体" w:eastAsia="宋体" w:cs="宋体"/>
          <w:color w:val="000000"/>
          <w:sz w:val="24"/>
          <w:szCs w:val="24"/>
          <w:highlight w:val="none"/>
          <w:lang w:eastAsia="zh-CN"/>
        </w:rPr>
        <w:t>法律法规</w:t>
      </w:r>
      <w:r>
        <w:rPr>
          <w:rFonts w:hint="eastAsia" w:ascii="宋体" w:hAnsi="宋体" w:eastAsia="宋体" w:cs="宋体"/>
          <w:color w:val="000000"/>
          <w:sz w:val="24"/>
          <w:szCs w:val="24"/>
          <w:highlight w:val="none"/>
        </w:rPr>
        <w:t>、规定、通知、决定、指导意见等各种规范性文件，甲、乙双方就本项目建设工程施工及有关事项协商一致，签订本合同。</w:t>
      </w:r>
    </w:p>
    <w:p w14:paraId="075BEEF7">
      <w:pPr>
        <w:pStyle w:val="5"/>
        <w:pageBreakBefore w:val="0"/>
        <w:widowControl/>
        <w:wordWrap/>
        <w:overflowPunct/>
        <w:topLinePunct w:val="0"/>
        <w:bidi w:val="0"/>
        <w:spacing w:line="440" w:lineRule="exact"/>
        <w:ind w:left="0" w:leftChars="0" w:firstLine="482" w:firstLineChars="200"/>
        <w:jc w:val="both"/>
        <w:rPr>
          <w:rFonts w:hint="eastAsia" w:ascii="宋体" w:hAnsi="宋体" w:eastAsia="宋体" w:cs="宋体"/>
          <w:b/>
          <w:bCs w:val="0"/>
          <w:color w:val="000000"/>
          <w:sz w:val="24"/>
          <w:szCs w:val="24"/>
          <w:highlight w:val="none"/>
        </w:rPr>
      </w:pPr>
      <w:bookmarkStart w:id="0" w:name="_Toc351203481"/>
      <w:r>
        <w:rPr>
          <w:rFonts w:hint="eastAsia" w:ascii="宋体" w:hAnsi="宋体" w:eastAsia="宋体" w:cs="宋体"/>
          <w:b/>
          <w:bCs w:val="0"/>
          <w:color w:val="000000"/>
          <w:sz w:val="24"/>
          <w:szCs w:val="24"/>
          <w:highlight w:val="none"/>
        </w:rPr>
        <w:t>一、工程概况</w:t>
      </w:r>
      <w:bookmarkEnd w:id="0"/>
    </w:p>
    <w:p w14:paraId="49838CE7">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000000"/>
          <w:sz w:val="24"/>
          <w:szCs w:val="24"/>
          <w:highlight w:val="none"/>
          <w:u w:val="single"/>
        </w:rPr>
      </w:pPr>
      <w:r>
        <w:rPr>
          <w:rFonts w:hint="eastAsia" w:ascii="宋体" w:hAnsi="宋体" w:eastAsia="宋体" w:cs="宋体"/>
          <w:bCs/>
          <w:color w:val="000000"/>
          <w:sz w:val="24"/>
          <w:szCs w:val="24"/>
          <w:highlight w:val="none"/>
          <w:lang w:eastAsia="zh-CN"/>
        </w:rPr>
        <w:t>1.</w:t>
      </w:r>
      <w:r>
        <w:rPr>
          <w:rFonts w:hint="eastAsia" w:ascii="宋体" w:hAnsi="宋体" w:eastAsia="宋体" w:cs="宋体"/>
          <w:bCs/>
          <w:color w:val="000000"/>
          <w:sz w:val="24"/>
          <w:szCs w:val="24"/>
          <w:highlight w:val="none"/>
        </w:rPr>
        <w:t>工程名称</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lang w:eastAsia="zh-CN"/>
        </w:rPr>
        <w:t>临江公司2026年布袋净气室防腐工程施工</w:t>
      </w:r>
      <w:r>
        <w:rPr>
          <w:rFonts w:hint="eastAsia" w:ascii="宋体" w:hAnsi="宋体" w:eastAsia="宋体" w:cs="宋体"/>
          <w:color w:val="000000"/>
          <w:sz w:val="24"/>
          <w:szCs w:val="24"/>
          <w:highlight w:val="none"/>
        </w:rPr>
        <w:t>。</w:t>
      </w:r>
    </w:p>
    <w:p w14:paraId="733B8A90">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2.</w:t>
      </w:r>
      <w:r>
        <w:rPr>
          <w:rFonts w:hint="eastAsia" w:ascii="宋体" w:hAnsi="宋体" w:eastAsia="宋体" w:cs="宋体"/>
          <w:bCs/>
          <w:color w:val="000000"/>
          <w:sz w:val="24"/>
          <w:szCs w:val="24"/>
          <w:highlight w:val="none"/>
        </w:rPr>
        <w:t>工程地点</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u w:val="single"/>
          <w:lang w:val="en-US" w:eastAsia="zh-CN"/>
        </w:rPr>
        <w:t>浙江省杭州</w:t>
      </w:r>
      <w:r>
        <w:rPr>
          <w:rFonts w:hint="eastAsia" w:ascii="宋体" w:hAnsi="宋体" w:eastAsia="宋体" w:cs="宋体"/>
          <w:color w:val="000000"/>
          <w:sz w:val="24"/>
          <w:szCs w:val="24"/>
          <w:highlight w:val="none"/>
          <w:u w:val="single"/>
          <w:lang w:val="en-US" w:eastAsia="zh-CN"/>
        </w:rPr>
        <w:t>市钱塘区临江街道杭州临江环境能源有限公司厂区内</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549C5426">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lang w:eastAsia="zh-CN"/>
        </w:rPr>
        <w:t>3.</w:t>
      </w:r>
      <w:r>
        <w:rPr>
          <w:rFonts w:hint="eastAsia" w:ascii="宋体" w:hAnsi="宋体" w:eastAsia="宋体" w:cs="宋体"/>
          <w:bCs/>
          <w:color w:val="000000"/>
          <w:sz w:val="24"/>
          <w:szCs w:val="24"/>
          <w:highlight w:val="none"/>
        </w:rPr>
        <w:t>工程承包范围：</w:t>
      </w:r>
      <w:r>
        <w:rPr>
          <w:rFonts w:hint="eastAsia" w:ascii="宋体" w:hAnsi="宋体" w:eastAsia="宋体" w:cs="宋体"/>
          <w:color w:val="auto"/>
          <w:sz w:val="24"/>
          <w:szCs w:val="24"/>
          <w:highlight w:val="none"/>
          <w:u w:val="single"/>
          <w:lang w:val="en-US" w:eastAsia="zh-CN"/>
        </w:rPr>
        <w:t>招标文件及工程量清单范围内的所有内容</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w:t>
      </w:r>
      <w:bookmarkStart w:id="1" w:name="_Toc351203482"/>
    </w:p>
    <w:p w14:paraId="39BECE18">
      <w:pPr>
        <w:pageBreakBefore w:val="0"/>
        <w:widowControl/>
        <w:wordWrap/>
        <w:overflowPunct/>
        <w:topLinePunct w:val="0"/>
        <w:bidi w:val="0"/>
        <w:spacing w:line="440" w:lineRule="exact"/>
        <w:ind w:left="0" w:leftChars="0" w:firstLine="482" w:firstLineChars="200"/>
        <w:jc w:val="both"/>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rPr>
        <w:t>二、合同工期</w:t>
      </w:r>
      <w:bookmarkEnd w:id="1"/>
      <w:r>
        <w:rPr>
          <w:rFonts w:hint="eastAsia" w:ascii="宋体" w:hAnsi="宋体" w:eastAsia="宋体" w:cs="宋体"/>
          <w:b/>
          <w:bCs w:val="0"/>
          <w:color w:val="000000"/>
          <w:sz w:val="24"/>
          <w:szCs w:val="24"/>
          <w:highlight w:val="none"/>
        </w:rPr>
        <w:t>和延期</w:t>
      </w:r>
      <w:r>
        <w:rPr>
          <w:rFonts w:hint="eastAsia" w:ascii="宋体" w:hAnsi="宋体" w:eastAsia="宋体" w:cs="宋体"/>
          <w:b/>
          <w:bCs w:val="0"/>
          <w:color w:val="000000"/>
          <w:sz w:val="24"/>
          <w:szCs w:val="24"/>
          <w:highlight w:val="none"/>
          <w:lang w:val="en-US" w:eastAsia="zh-CN"/>
        </w:rPr>
        <w:t>违约金</w:t>
      </w:r>
    </w:p>
    <w:p w14:paraId="72126AE5">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rPr>
        <w:t>工期总日历天数：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u w:val="single"/>
          <w:lang w:val="en-US" w:eastAsia="zh-CN"/>
        </w:rPr>
        <w:t xml:space="preserve"> 60 天，</w:t>
      </w:r>
      <w:r>
        <w:rPr>
          <w:rFonts w:hint="eastAsia" w:asciiTheme="minorEastAsia" w:hAnsiTheme="minorEastAsia" w:eastAsiaTheme="minorEastAsia" w:cstheme="minorEastAsia"/>
          <w:sz w:val="24"/>
          <w:szCs w:val="24"/>
          <w:highlight w:val="none"/>
          <w:lang w:val="en-US" w:eastAsia="zh-CN"/>
        </w:rPr>
        <w:t>分3次施工，每次发包人在停炉前7天通知承包人，承包人接通知后，在20天内完成单套20个</w:t>
      </w:r>
      <w:r>
        <w:rPr>
          <w:rFonts w:hint="eastAsia" w:asciiTheme="minorEastAsia" w:hAnsiTheme="minorEastAsia" w:eastAsiaTheme="minorEastAsia" w:cstheme="minorEastAsia"/>
          <w:sz w:val="24"/>
          <w:szCs w:val="24"/>
          <w:highlight w:val="none"/>
          <w:lang w:eastAsia="zh-CN"/>
        </w:rPr>
        <w:t>布袋净气室</w:t>
      </w:r>
      <w:r>
        <w:rPr>
          <w:rFonts w:hint="eastAsia" w:asciiTheme="minorEastAsia" w:hAnsiTheme="minorEastAsia" w:eastAsiaTheme="minorEastAsia" w:cstheme="minorEastAsia"/>
          <w:b w:val="0"/>
          <w:bCs w:val="0"/>
          <w:color w:val="000000"/>
          <w:spacing w:val="0"/>
          <w:kern w:val="0"/>
          <w:szCs w:val="24"/>
          <w:highlight w:val="none"/>
          <w:lang w:val="en-US" w:eastAsia="zh-CN"/>
        </w:rPr>
        <w:t>防腐大修施工</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开工日期为</w:t>
      </w:r>
      <w:r>
        <w:rPr>
          <w:rFonts w:hint="eastAsia" w:ascii="宋体" w:hAnsi="宋体" w:eastAsia="宋体" w:cs="宋体"/>
          <w:sz w:val="24"/>
          <w:szCs w:val="24"/>
          <w:highlight w:val="none"/>
          <w:lang w:eastAsia="zh-CN"/>
        </w:rPr>
        <w:t>发包人监理人或发包人</w:t>
      </w:r>
      <w:r>
        <w:rPr>
          <w:rFonts w:hint="eastAsia" w:ascii="宋体" w:hAnsi="宋体" w:eastAsia="宋体" w:cs="宋体"/>
          <w:sz w:val="24"/>
          <w:szCs w:val="24"/>
          <w:highlight w:val="none"/>
        </w:rPr>
        <w:t>签发的开工通知载明的开工日期。</w:t>
      </w:r>
    </w:p>
    <w:p w14:paraId="603EA9B5">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因承包人原因造成工期延误，逾期竣工违约金的上限：工期延误30天（不含）以内，每延误一天，缴纳违约金500元；累计延误30天（含）以上的，每天缴纳违约金1000元。</w:t>
      </w:r>
    </w:p>
    <w:p w14:paraId="5F1D1CBF">
      <w:pPr>
        <w:spacing w:before="113" w:line="221" w:lineRule="auto"/>
        <w:ind w:left="495"/>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ascii="宋体" w:hAnsi="宋体" w:eastAsia="宋体" w:cs="宋体"/>
          <w:spacing w:val="-4"/>
          <w:sz w:val="24"/>
          <w:szCs w:val="24"/>
          <w:highlight w:val="none"/>
        </w:rPr>
        <w:t>因发包人原因导致工期延误的情形：</w:t>
      </w:r>
    </w:p>
    <w:p w14:paraId="1A86D39A">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重大方案变更引起的工期延误；</w:t>
      </w:r>
    </w:p>
    <w:p w14:paraId="5281251B">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施工期间，有重要参观团或领导视察安排，为确保现场秩序及安全，需临时暂停施工作业，待参观接待活动结束后方可恢复正常施工进度。由此引起的工期延误，</w:t>
      </w:r>
      <w:r>
        <w:rPr>
          <w:rFonts w:hint="eastAsia" w:ascii="宋体" w:hAnsi="宋体" w:eastAsia="宋体" w:cs="宋体"/>
          <w:color w:val="000000"/>
          <w:sz w:val="24"/>
          <w:szCs w:val="24"/>
          <w:highlight w:val="none"/>
          <w:lang w:eastAsia="zh-CN"/>
        </w:rPr>
        <w:t>发包人</w:t>
      </w:r>
      <w:r>
        <w:rPr>
          <w:rFonts w:hint="eastAsia" w:ascii="宋体" w:hAnsi="宋体" w:eastAsia="宋体" w:cs="宋体"/>
          <w:color w:val="000000"/>
          <w:sz w:val="24"/>
          <w:szCs w:val="24"/>
          <w:highlight w:val="none"/>
        </w:rPr>
        <w:t>签证确认后予以工期顺延，但费用不予赔偿或补偿。</w:t>
      </w:r>
    </w:p>
    <w:p w14:paraId="7AA10435">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政策法规调整、群体事件</w:t>
      </w:r>
      <w:r>
        <w:rPr>
          <w:rFonts w:hint="eastAsia" w:ascii="宋体" w:hAnsi="宋体" w:eastAsia="宋体" w:cs="宋体"/>
          <w:color w:val="000000"/>
          <w:sz w:val="24"/>
          <w:szCs w:val="24"/>
          <w:highlight w:val="none"/>
          <w:lang w:val="en-US" w:eastAsia="zh-CN"/>
        </w:rPr>
        <w:t>或</w:t>
      </w:r>
      <w:r>
        <w:rPr>
          <w:rFonts w:hint="eastAsia" w:ascii="宋体" w:hAnsi="宋体" w:eastAsia="宋体" w:cs="宋体"/>
          <w:color w:val="000000"/>
          <w:sz w:val="24"/>
          <w:szCs w:val="24"/>
          <w:highlight w:val="none"/>
        </w:rPr>
        <w:t>不可抗力引起的工期延误，</w:t>
      </w:r>
      <w:r>
        <w:rPr>
          <w:rFonts w:hint="eastAsia" w:ascii="宋体" w:hAnsi="宋体" w:eastAsia="宋体" w:cs="宋体"/>
          <w:color w:val="000000"/>
          <w:sz w:val="24"/>
          <w:szCs w:val="24"/>
          <w:highlight w:val="none"/>
          <w:lang w:eastAsia="zh-CN"/>
        </w:rPr>
        <w:t>发包人</w:t>
      </w:r>
      <w:r>
        <w:rPr>
          <w:rFonts w:hint="eastAsia" w:ascii="宋体" w:hAnsi="宋体" w:eastAsia="宋体" w:cs="宋体"/>
          <w:color w:val="000000"/>
          <w:sz w:val="24"/>
          <w:szCs w:val="24"/>
          <w:highlight w:val="none"/>
        </w:rPr>
        <w:t>签证确认后予以工期顺延，但费用不予赔偿或补偿。</w:t>
      </w:r>
    </w:p>
    <w:p w14:paraId="73B96449">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经发包确认影响施工进度的其他情形</w:t>
      </w:r>
      <w:r>
        <w:rPr>
          <w:rFonts w:hint="eastAsia" w:ascii="宋体" w:hAnsi="宋体" w:eastAsia="宋体" w:cs="宋体"/>
          <w:color w:val="000000"/>
          <w:sz w:val="24"/>
          <w:szCs w:val="24"/>
          <w:highlight w:val="none"/>
          <w:lang w:eastAsia="zh-CN"/>
        </w:rPr>
        <w:t>，发包人</w:t>
      </w:r>
      <w:r>
        <w:rPr>
          <w:rFonts w:hint="eastAsia" w:ascii="宋体" w:hAnsi="宋体" w:eastAsia="宋体" w:cs="宋体"/>
          <w:color w:val="000000"/>
          <w:sz w:val="24"/>
          <w:szCs w:val="24"/>
          <w:highlight w:val="none"/>
        </w:rPr>
        <w:t>签证确认后予以工期顺延，但费用不予赔偿或补偿。</w:t>
      </w:r>
    </w:p>
    <w:p w14:paraId="090280AA">
      <w:pPr>
        <w:pStyle w:val="5"/>
        <w:pageBreakBefore w:val="0"/>
        <w:widowControl/>
        <w:wordWrap/>
        <w:overflowPunct/>
        <w:topLinePunct w:val="0"/>
        <w:bidi w:val="0"/>
        <w:spacing w:line="440" w:lineRule="exact"/>
        <w:ind w:left="0" w:leftChars="0" w:firstLine="482" w:firstLineChars="200"/>
        <w:jc w:val="both"/>
        <w:rPr>
          <w:rFonts w:hint="eastAsia" w:ascii="宋体" w:hAnsi="宋体" w:eastAsia="宋体" w:cs="宋体"/>
          <w:b/>
          <w:bCs w:val="0"/>
          <w:color w:val="000000"/>
          <w:sz w:val="24"/>
          <w:szCs w:val="24"/>
          <w:highlight w:val="none"/>
        </w:rPr>
      </w:pPr>
      <w:bookmarkStart w:id="2" w:name="_Toc351203483"/>
      <w:r>
        <w:rPr>
          <w:rFonts w:hint="eastAsia" w:ascii="宋体" w:hAnsi="宋体" w:eastAsia="宋体" w:cs="宋体"/>
          <w:b/>
          <w:bCs w:val="0"/>
          <w:color w:val="000000"/>
          <w:sz w:val="24"/>
          <w:szCs w:val="24"/>
          <w:highlight w:val="none"/>
        </w:rPr>
        <w:t>三、质量标准</w:t>
      </w:r>
      <w:bookmarkEnd w:id="2"/>
      <w:r>
        <w:rPr>
          <w:rFonts w:hint="eastAsia" w:ascii="宋体" w:hAnsi="宋体" w:eastAsia="宋体" w:cs="宋体"/>
          <w:b/>
          <w:bCs w:val="0"/>
          <w:color w:val="000000"/>
          <w:sz w:val="24"/>
          <w:szCs w:val="24"/>
          <w:highlight w:val="none"/>
        </w:rPr>
        <w:t>及违约责任</w:t>
      </w:r>
    </w:p>
    <w:p w14:paraId="3F334659">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rPr>
        <w:t>质量要求：工工程质量符合</w:t>
      </w:r>
      <w:r>
        <w:rPr>
          <w:rFonts w:hint="eastAsia" w:ascii="宋体" w:hAnsi="宋体" w:eastAsia="宋体" w:cs="宋体"/>
          <w:color w:val="000000"/>
          <w:sz w:val="24"/>
          <w:szCs w:val="24"/>
          <w:highlight w:val="none"/>
          <w:u w:val="single"/>
        </w:rPr>
        <w:t xml:space="preserve"> 合格</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标准。如因</w:t>
      </w:r>
      <w:r>
        <w:rPr>
          <w:rFonts w:hint="eastAsia" w:ascii="宋体" w:hAnsi="宋体" w:eastAsia="宋体" w:cs="宋体"/>
          <w:color w:val="000000"/>
          <w:sz w:val="24"/>
          <w:szCs w:val="24"/>
          <w:highlight w:val="none"/>
          <w:lang w:eastAsia="zh-CN"/>
        </w:rPr>
        <w:t>承包人</w:t>
      </w:r>
      <w:r>
        <w:rPr>
          <w:rFonts w:hint="eastAsia" w:ascii="宋体" w:hAnsi="宋体" w:eastAsia="宋体" w:cs="宋体"/>
          <w:color w:val="000000"/>
          <w:sz w:val="24"/>
          <w:szCs w:val="24"/>
          <w:highlight w:val="none"/>
        </w:rPr>
        <w:t xml:space="preserve">原因导致工程未能通过竣工验收， </w:t>
      </w:r>
      <w:r>
        <w:rPr>
          <w:rFonts w:hint="eastAsia" w:ascii="宋体" w:hAnsi="宋体" w:eastAsia="宋体" w:cs="宋体"/>
          <w:color w:val="000000"/>
          <w:sz w:val="24"/>
          <w:szCs w:val="24"/>
          <w:highlight w:val="none"/>
          <w:lang w:eastAsia="zh-CN"/>
        </w:rPr>
        <w:t>承包人</w:t>
      </w:r>
      <w:r>
        <w:rPr>
          <w:rFonts w:hint="eastAsia" w:ascii="宋体" w:hAnsi="宋体" w:eastAsia="宋体" w:cs="宋体"/>
          <w:color w:val="000000"/>
          <w:sz w:val="24"/>
          <w:szCs w:val="24"/>
          <w:highlight w:val="none"/>
        </w:rPr>
        <w:t>除需按合同价的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lang w:eastAsia="zh-CN"/>
        </w:rPr>
        <w:t>发包人</w:t>
      </w:r>
      <w:r>
        <w:rPr>
          <w:rFonts w:hint="eastAsia" w:ascii="宋体" w:hAnsi="宋体" w:eastAsia="宋体" w:cs="宋体"/>
          <w:color w:val="000000"/>
          <w:sz w:val="24"/>
          <w:szCs w:val="24"/>
          <w:highlight w:val="none"/>
        </w:rPr>
        <w:t>支付违约金外，还需按要求进行整改直至通过验收，且工期不顺延。</w:t>
      </w:r>
      <w:r>
        <w:rPr>
          <w:rFonts w:hint="eastAsia" w:ascii="宋体" w:hAnsi="宋体" w:eastAsia="宋体" w:cs="宋体"/>
          <w:sz w:val="24"/>
          <w:szCs w:val="24"/>
          <w:highlight w:val="none"/>
        </w:rPr>
        <w:t>若</w:t>
      </w:r>
      <w:r>
        <w:rPr>
          <w:rFonts w:hint="eastAsia" w:ascii="宋体" w:hAnsi="宋体" w:eastAsia="宋体" w:cs="宋体"/>
          <w:sz w:val="24"/>
          <w:szCs w:val="24"/>
          <w:highlight w:val="none"/>
          <w:lang w:eastAsia="zh-CN"/>
        </w:rPr>
        <w:t>承包人</w:t>
      </w:r>
      <w:r>
        <w:rPr>
          <w:rFonts w:hint="eastAsia" w:ascii="宋体" w:hAnsi="宋体" w:eastAsia="宋体" w:cs="宋体"/>
          <w:sz w:val="24"/>
          <w:szCs w:val="24"/>
          <w:highlight w:val="none"/>
        </w:rPr>
        <w:t>拒绝整改，</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有权委托第三方进行整改，由此产生的费用由</w:t>
      </w:r>
      <w:r>
        <w:rPr>
          <w:rFonts w:hint="eastAsia" w:ascii="宋体" w:hAnsi="宋体" w:eastAsia="宋体" w:cs="宋体"/>
          <w:sz w:val="24"/>
          <w:szCs w:val="24"/>
          <w:highlight w:val="none"/>
          <w:lang w:eastAsia="zh-CN"/>
        </w:rPr>
        <w:t>承包人</w:t>
      </w:r>
      <w:r>
        <w:rPr>
          <w:rFonts w:hint="eastAsia" w:ascii="宋体" w:hAnsi="宋体" w:eastAsia="宋体" w:cs="宋体"/>
          <w:sz w:val="24"/>
          <w:szCs w:val="24"/>
          <w:highlight w:val="none"/>
        </w:rPr>
        <w:t>承担。</w:t>
      </w:r>
    </w:p>
    <w:p w14:paraId="3FB761A2">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工程质量保修期：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分开计算单套布袋除尘器20个净气室</w:t>
      </w:r>
      <w:r>
        <w:rPr>
          <w:rFonts w:hint="eastAsia" w:ascii="宋体" w:hAnsi="宋体" w:eastAsia="宋体" w:cs="宋体"/>
          <w:color w:val="000000"/>
          <w:sz w:val="24"/>
          <w:szCs w:val="24"/>
          <w:highlight w:val="none"/>
          <w:u w:val="single"/>
          <w:lang w:eastAsia="zh-CN"/>
        </w:rPr>
        <w:t>防腐工程施工</w:t>
      </w:r>
      <w:r>
        <w:rPr>
          <w:rFonts w:hint="eastAsia" w:ascii="宋体" w:hAnsi="宋体" w:eastAsia="宋体" w:cs="宋体"/>
          <w:color w:val="auto"/>
          <w:sz w:val="24"/>
          <w:szCs w:val="24"/>
          <w:highlight w:val="none"/>
          <w:u w:val="single"/>
          <w:lang w:val="en-US" w:eastAsia="zh-CN"/>
        </w:rPr>
        <w:t>的质量保修期，单套布袋除尘器20个净气室</w:t>
      </w:r>
      <w:r>
        <w:rPr>
          <w:rFonts w:hint="eastAsia" w:ascii="宋体" w:hAnsi="宋体" w:eastAsia="宋体" w:cs="宋体"/>
          <w:color w:val="000000"/>
          <w:sz w:val="24"/>
          <w:szCs w:val="24"/>
          <w:highlight w:val="none"/>
          <w:u w:val="single"/>
          <w:lang w:eastAsia="zh-CN"/>
        </w:rPr>
        <w:t>防腐工程施工</w:t>
      </w:r>
      <w:r>
        <w:rPr>
          <w:rFonts w:hint="eastAsia" w:ascii="宋体" w:hAnsi="宋体" w:eastAsia="宋体" w:cs="宋体"/>
          <w:color w:val="auto"/>
          <w:sz w:val="24"/>
          <w:szCs w:val="24"/>
          <w:highlight w:val="none"/>
          <w:u w:val="single"/>
          <w:lang w:val="en-US" w:eastAsia="zh-CN"/>
        </w:rPr>
        <w:t>竣工验收合格后12个月 。</w:t>
      </w:r>
      <w:r>
        <w:rPr>
          <w:rFonts w:hint="eastAsia" w:ascii="宋体" w:hAnsi="宋体" w:eastAsia="宋体" w:cs="宋体"/>
          <w:color w:val="auto"/>
          <w:sz w:val="24"/>
          <w:szCs w:val="24"/>
          <w:highlight w:val="none"/>
          <w:u w:val="single"/>
        </w:rPr>
        <w:t xml:space="preserve">   </w:t>
      </w:r>
    </w:p>
    <w:p w14:paraId="7926E260">
      <w:pPr>
        <w:pageBreakBefore w:val="0"/>
        <w:widowControl/>
        <w:wordWrap/>
        <w:overflowPunct/>
        <w:topLinePunct w:val="0"/>
        <w:bidi w:val="0"/>
        <w:spacing w:line="440" w:lineRule="exact"/>
        <w:ind w:left="0" w:leftChars="0" w:firstLine="480" w:firstLineChars="200"/>
        <w:jc w:val="both"/>
        <w:rPr>
          <w:rFonts w:hint="default" w:ascii="宋体" w:hAnsi="宋体" w:eastAsia="宋体" w:cs="宋体"/>
          <w:sz w:val="24"/>
          <w:szCs w:val="24"/>
          <w:highlight w:val="none"/>
          <w:u w:val="single"/>
          <w:lang w:val="en-US"/>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其他约定：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w:t>
      </w:r>
      <w:bookmarkStart w:id="3" w:name="_Toc351203484"/>
      <w:r>
        <w:rPr>
          <w:rFonts w:hint="eastAsia" w:ascii="宋体" w:hAnsi="宋体" w:eastAsia="宋体" w:cs="宋体"/>
          <w:sz w:val="24"/>
          <w:szCs w:val="24"/>
          <w:highlight w:val="none"/>
          <w:u w:val="single"/>
          <w:lang w:val="en-US" w:eastAsia="zh-CN"/>
        </w:rPr>
        <w:t xml:space="preserve">  </w:t>
      </w:r>
    </w:p>
    <w:p w14:paraId="33293E7D">
      <w:pPr>
        <w:pStyle w:val="20"/>
        <w:pageBreakBefore w:val="0"/>
        <w:widowControl/>
        <w:tabs>
          <w:tab w:val="left" w:pos="9360"/>
        </w:tabs>
        <w:wordWrap/>
        <w:overflowPunct/>
        <w:topLinePunct w:val="0"/>
        <w:bidi w:val="0"/>
        <w:spacing w:line="440" w:lineRule="exact"/>
        <w:ind w:left="0" w:leftChars="0" w:firstLine="482" w:firstLineChars="20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四、履约担保</w:t>
      </w:r>
    </w:p>
    <w:p w14:paraId="54D770BF">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承包人应于本合同签订前按招标文件和本合同约定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向发包人</w:t>
      </w:r>
      <w:r>
        <w:rPr>
          <w:rFonts w:hint="eastAsia" w:ascii="宋体" w:hAnsi="宋体" w:eastAsia="宋体" w:cs="宋体"/>
          <w:sz w:val="24"/>
          <w:szCs w:val="24"/>
          <w:highlight w:val="none"/>
        </w:rPr>
        <w:t>交纳合同价2%</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履约保证金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履约担保银行保函/保证保险/转账形式(从基本账户转出)。若采用履约保函形式，因故导致保函有效期在竣工验收前过期的，</w:t>
      </w:r>
      <w:r>
        <w:rPr>
          <w:rFonts w:hint="eastAsia" w:ascii="宋体" w:hAnsi="宋体" w:eastAsia="宋体" w:cs="宋体"/>
          <w:sz w:val="24"/>
          <w:szCs w:val="24"/>
          <w:highlight w:val="none"/>
          <w:lang w:eastAsia="zh-CN"/>
        </w:rPr>
        <w:t>承包人</w:t>
      </w:r>
      <w:r>
        <w:rPr>
          <w:rFonts w:hint="eastAsia" w:ascii="宋体" w:hAnsi="宋体" w:eastAsia="宋体" w:cs="宋体"/>
          <w:sz w:val="24"/>
          <w:szCs w:val="24"/>
          <w:highlight w:val="none"/>
        </w:rPr>
        <w:t>无条件做好延期，未按时延期的，视同未按时交纳履约担保，按合同价的万分之五/日计算违约金。保函从签订本合同至竣工验收合格后90天内有效。</w:t>
      </w:r>
    </w:p>
    <w:p w14:paraId="3CF5C917">
      <w:pPr>
        <w:pageBreakBefore w:val="0"/>
        <w:widowControl/>
        <w:wordWrap/>
        <w:overflowPunct/>
        <w:topLinePunct w:val="0"/>
        <w:bidi w:val="0"/>
        <w:spacing w:line="440" w:lineRule="exact"/>
        <w:ind w:left="0" w:leftChars="0"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履约担保的退还：承包人完成全部合同约定内容，合同履约期间无违约行为，在工程竣工验收合格并提交完整归档资料后30个工作日内，发包人退还履约担保（无息）。</w:t>
      </w:r>
    </w:p>
    <w:p w14:paraId="5B26172B">
      <w:pPr>
        <w:pageBreakBefore w:val="0"/>
        <w:widowControl/>
        <w:wordWrap/>
        <w:overflowPunct/>
        <w:topLinePunct w:val="0"/>
        <w:bidi w:val="0"/>
        <w:spacing w:line="440" w:lineRule="exact"/>
        <w:ind w:left="0" w:leftChars="0" w:firstLine="482" w:firstLineChars="200"/>
        <w:jc w:val="both"/>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五、签约合同价</w:t>
      </w:r>
      <w:bookmarkEnd w:id="3"/>
      <w:r>
        <w:rPr>
          <w:rFonts w:hint="eastAsia" w:ascii="宋体" w:hAnsi="宋体" w:eastAsia="宋体" w:cs="宋体"/>
          <w:b/>
          <w:bCs w:val="0"/>
          <w:color w:val="000000"/>
          <w:sz w:val="24"/>
          <w:szCs w:val="24"/>
          <w:highlight w:val="none"/>
        </w:rPr>
        <w:t>及结算方式</w:t>
      </w:r>
    </w:p>
    <w:p w14:paraId="406260F3">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签约合同价（含税）为：¥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w:t>
      </w:r>
      <w:r>
        <w:rPr>
          <w:rFonts w:hint="eastAsia" w:ascii="宋体" w:hAnsi="宋体" w:eastAsia="宋体" w:cs="宋体"/>
          <w:sz w:val="24"/>
          <w:szCs w:val="24"/>
          <w:highlight w:val="none"/>
        </w:rPr>
        <w:t>其中：</w:t>
      </w:r>
    </w:p>
    <w:p w14:paraId="28F72A36">
      <w:pPr>
        <w:keepNext w:val="0"/>
        <w:keepLines w:val="0"/>
        <w:pageBreakBefore w:val="0"/>
        <w:widowControl/>
        <w:kinsoku/>
        <w:wordWrap/>
        <w:overflowPunct/>
        <w:topLinePunct w:val="0"/>
        <w:autoSpaceDE/>
        <w:autoSpaceDN/>
        <w:bidi w:val="0"/>
        <w:spacing w:line="44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（1）安全文明</w:t>
      </w:r>
      <w:r>
        <w:rPr>
          <w:rFonts w:hint="eastAsia" w:ascii="宋体" w:hAnsi="宋体" w:eastAsia="宋体" w:cs="宋体"/>
          <w:sz w:val="24"/>
          <w:szCs w:val="24"/>
          <w:highlight w:val="none"/>
          <w:lang w:val="en-US" w:eastAsia="zh-CN"/>
        </w:rPr>
        <w:t>措施</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不含税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5150913">
      <w:pPr>
        <w:keepNext w:val="0"/>
        <w:keepLines w:val="0"/>
        <w:pageBreakBefore w:val="0"/>
        <w:widowControl/>
        <w:kinsoku/>
        <w:wordWrap/>
        <w:overflowPunct/>
        <w:topLinePunct w:val="0"/>
        <w:autoSpaceDE/>
        <w:autoSpaceDN/>
        <w:bidi w:val="0"/>
        <w:spacing w:line="44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人民币（大写）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5FE581A2">
      <w:pPr>
        <w:keepNext w:val="0"/>
        <w:keepLines w:val="0"/>
        <w:pageBreakBefore w:val="0"/>
        <w:widowControl/>
        <w:kinsoku/>
        <w:wordWrap/>
        <w:overflowPunct/>
        <w:topLinePunct w:val="0"/>
        <w:autoSpaceDE/>
        <w:autoSpaceDN/>
        <w:bidi w:val="0"/>
        <w:spacing w:line="44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）暂列金</w:t>
      </w:r>
      <w:r>
        <w:rPr>
          <w:rFonts w:hint="eastAsia" w:ascii="宋体" w:hAnsi="宋体" w:eastAsia="宋体" w:cs="宋体"/>
          <w:color w:val="auto"/>
          <w:sz w:val="24"/>
          <w:szCs w:val="24"/>
          <w:highlight w:val="none"/>
        </w:rPr>
        <w:t>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不含税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DE5A716">
      <w:pPr>
        <w:keepNext w:val="0"/>
        <w:keepLines w:val="0"/>
        <w:pageBreakBefore w:val="0"/>
        <w:widowControl/>
        <w:kinsoku/>
        <w:wordWrap/>
        <w:overflowPunct/>
        <w:topLinePunct w:val="0"/>
        <w:autoSpaceDE/>
        <w:autoSpaceDN/>
        <w:bidi w:val="0"/>
        <w:spacing w:line="440" w:lineRule="exact"/>
        <w:ind w:left="0" w:lef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人民币（大写）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30914C29">
      <w:pPr>
        <w:pageBreakBefore w:val="0"/>
        <w:widowControl/>
        <w:numPr>
          <w:ilvl w:val="0"/>
          <w:numId w:val="0"/>
        </w:numPr>
        <w:wordWrap/>
        <w:overflowPunct/>
        <w:topLinePunct w:val="0"/>
        <w:bidi w:val="0"/>
        <w:spacing w:line="440" w:lineRule="exact"/>
        <w:ind w:left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合同价格形式：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lang w:eastAsia="zh-CN"/>
        </w:rPr>
        <w:t>）</w:t>
      </w:r>
      <w:r>
        <w:rPr>
          <w:rFonts w:hint="eastAsia" w:ascii="宋体" w:hAnsi="宋体" w:eastAsia="宋体" w:cs="宋体"/>
          <w:bCs/>
          <w:color w:val="000000"/>
          <w:sz w:val="24"/>
          <w:szCs w:val="24"/>
          <w:highlight w:val="none"/>
          <w:u w:val="single"/>
        </w:rPr>
        <w:t>固定综合单价合同</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rPr>
        <w:t>。</w:t>
      </w:r>
    </w:p>
    <w:p w14:paraId="6EDDCAC4">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（1）固定综合单价合同：采用固定综合单价合同方式，工程量按实计量，其中组织措施费及</w:t>
      </w:r>
      <w:r>
        <w:rPr>
          <w:rFonts w:hint="eastAsia" w:ascii="宋体" w:hAnsi="宋体" w:eastAsia="宋体" w:cs="宋体"/>
          <w:sz w:val="24"/>
          <w:szCs w:val="24"/>
          <w:highlight w:val="none"/>
        </w:rPr>
        <w:t>技术措施费</w:t>
      </w:r>
      <w:r>
        <w:rPr>
          <w:rFonts w:hint="eastAsia" w:ascii="宋体" w:hAnsi="宋体" w:eastAsia="宋体" w:cs="宋体"/>
          <w:bCs/>
          <w:color w:val="000000"/>
          <w:sz w:val="24"/>
          <w:szCs w:val="24"/>
          <w:highlight w:val="none"/>
        </w:rPr>
        <w:t>原则上包干</w:t>
      </w:r>
      <w:r>
        <w:rPr>
          <w:rFonts w:hint="eastAsia" w:ascii="宋体" w:hAnsi="宋体" w:eastAsia="宋体" w:cs="宋体"/>
          <w:sz w:val="24"/>
          <w:szCs w:val="24"/>
          <w:highlight w:val="none"/>
        </w:rPr>
        <w:t>不予调整。</w:t>
      </w:r>
      <w:r>
        <w:rPr>
          <w:rFonts w:hint="eastAsia" w:ascii="宋体" w:hAnsi="宋体" w:eastAsia="宋体" w:cs="宋体"/>
          <w:bCs/>
          <w:color w:val="000000"/>
          <w:sz w:val="24"/>
          <w:szCs w:val="24"/>
          <w:highlight w:val="none"/>
        </w:rPr>
        <w:t>综合单价包含</w:t>
      </w:r>
      <w:r>
        <w:rPr>
          <w:rFonts w:hint="eastAsia" w:ascii="宋体" w:hAnsi="宋体" w:eastAsia="宋体" w:cs="宋体"/>
          <w:bCs/>
          <w:color w:val="000000"/>
          <w:sz w:val="24"/>
          <w:szCs w:val="24"/>
          <w:highlight w:val="none"/>
          <w:lang w:val="en-US" w:eastAsia="zh-CN"/>
        </w:rPr>
        <w:t>不限于</w:t>
      </w:r>
      <w:r>
        <w:rPr>
          <w:rFonts w:hint="eastAsia" w:ascii="宋体" w:hAnsi="宋体" w:eastAsia="宋体" w:cs="宋体"/>
          <w:bCs/>
          <w:color w:val="000000"/>
          <w:sz w:val="24"/>
          <w:szCs w:val="24"/>
          <w:highlight w:val="none"/>
        </w:rPr>
        <w:t>的风险范围：</w:t>
      </w:r>
    </w:p>
    <w:p w14:paraId="2495D6BB">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1）应由承包人承担的工、料、机在投标编制期或预算书编制期与合同实施期间所发生的市场价格波动。</w:t>
      </w:r>
    </w:p>
    <w:p w14:paraId="44474312">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2）其他：</w:t>
      </w:r>
    </w:p>
    <w:p w14:paraId="1A1C8005">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a.</w:t>
      </w:r>
      <w:r>
        <w:rPr>
          <w:rFonts w:hint="eastAsia" w:ascii="宋体" w:hAnsi="宋体" w:eastAsia="宋体" w:cs="宋体"/>
          <w:bCs/>
          <w:color w:val="000000"/>
          <w:sz w:val="24"/>
          <w:szCs w:val="24"/>
          <w:highlight w:val="none"/>
        </w:rPr>
        <w:t>国家规定允许调整外的工日、材料（设备）、机械台班价格的上涨；</w:t>
      </w:r>
    </w:p>
    <w:p w14:paraId="3598A97F">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b.</w:t>
      </w:r>
      <w:r>
        <w:rPr>
          <w:rFonts w:hint="eastAsia" w:ascii="宋体" w:hAnsi="宋体" w:eastAsia="宋体" w:cs="宋体"/>
          <w:bCs/>
          <w:color w:val="000000"/>
          <w:sz w:val="24"/>
          <w:szCs w:val="24"/>
          <w:highlight w:val="none"/>
        </w:rPr>
        <w:t>在工程施工中应能预计的费用；</w:t>
      </w:r>
    </w:p>
    <w:p w14:paraId="34DDED70">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c.</w:t>
      </w:r>
      <w:r>
        <w:rPr>
          <w:rFonts w:hint="eastAsia" w:ascii="宋体" w:hAnsi="宋体" w:eastAsia="宋体" w:cs="宋体"/>
          <w:bCs/>
          <w:color w:val="000000"/>
          <w:sz w:val="24"/>
          <w:szCs w:val="24"/>
          <w:highlight w:val="none"/>
        </w:rPr>
        <w:t>所有招标文件或工程量清单明示要求报价的内容而承包人未予报价的；</w:t>
      </w:r>
    </w:p>
    <w:p w14:paraId="78493975">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d.</w:t>
      </w:r>
      <w:r>
        <w:rPr>
          <w:rFonts w:hint="eastAsia" w:ascii="宋体" w:hAnsi="宋体" w:eastAsia="宋体" w:cs="宋体"/>
          <w:bCs/>
          <w:color w:val="000000"/>
          <w:sz w:val="24"/>
          <w:szCs w:val="24"/>
          <w:highlight w:val="none"/>
        </w:rPr>
        <w:t>承包人对工程现场环境以及发包人提供的招标文件、图纸等资料作出错误的推论、理解而导致的报价失误；</w:t>
      </w:r>
    </w:p>
    <w:p w14:paraId="17EDDCAD">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e.</w:t>
      </w:r>
      <w:r>
        <w:rPr>
          <w:rFonts w:hint="eastAsia" w:ascii="宋体" w:hAnsi="宋体" w:eastAsia="宋体" w:cs="宋体"/>
          <w:bCs/>
          <w:color w:val="000000"/>
          <w:sz w:val="24"/>
          <w:szCs w:val="24"/>
          <w:highlight w:val="none"/>
        </w:rPr>
        <w:t>招标范围项目组织措施费包干，结算时不</w:t>
      </w:r>
      <w:r>
        <w:rPr>
          <w:rFonts w:hint="eastAsia" w:ascii="宋体" w:hAnsi="宋体" w:eastAsia="宋体" w:cs="宋体"/>
          <w:bCs/>
          <w:color w:val="000000"/>
          <w:sz w:val="24"/>
          <w:szCs w:val="24"/>
          <w:highlight w:val="none"/>
          <w:lang w:eastAsia="zh-CN"/>
        </w:rPr>
        <w:t>做</w:t>
      </w:r>
      <w:r>
        <w:rPr>
          <w:rFonts w:hint="eastAsia" w:ascii="宋体" w:hAnsi="宋体" w:eastAsia="宋体" w:cs="宋体"/>
          <w:bCs/>
          <w:color w:val="000000"/>
          <w:sz w:val="24"/>
          <w:szCs w:val="24"/>
          <w:highlight w:val="none"/>
        </w:rPr>
        <w:t>调整，但工程发生重大甩项时，应根据实际情况酌情扣减。技术措施费按项报价实行包干，结算时不作调整，工程发生重大变更导致确实需要调整技术措施费用、并经重大变更相关会议决定同意的，可予调整；</w:t>
      </w:r>
    </w:p>
    <w:p w14:paraId="55B8EE11">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f.</w:t>
      </w:r>
      <w:r>
        <w:rPr>
          <w:rFonts w:hint="eastAsia" w:ascii="宋体" w:hAnsi="宋体" w:eastAsia="宋体" w:cs="宋体"/>
          <w:bCs/>
          <w:color w:val="000000"/>
          <w:sz w:val="24"/>
          <w:szCs w:val="24"/>
          <w:highlight w:val="none"/>
        </w:rPr>
        <w:t>按图集或规范施工的，单价必须满足规范和图集要求，单价不得调整；</w:t>
      </w:r>
    </w:p>
    <w:p w14:paraId="57B1D6E6">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g.</w:t>
      </w:r>
      <w:r>
        <w:rPr>
          <w:rFonts w:hint="eastAsia" w:ascii="宋体" w:hAnsi="宋体" w:eastAsia="宋体" w:cs="宋体"/>
          <w:bCs/>
          <w:color w:val="000000"/>
          <w:sz w:val="24"/>
          <w:szCs w:val="24"/>
          <w:highlight w:val="none"/>
        </w:rPr>
        <w:t>工程量项目特征描述中未描述或描述不全，但又是完成该清单项目中必须有的工作内容，均应包括在报价内；</w:t>
      </w:r>
    </w:p>
    <w:p w14:paraId="1AEEF790">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h.</w:t>
      </w:r>
      <w:r>
        <w:rPr>
          <w:rFonts w:hint="eastAsia" w:ascii="宋体" w:hAnsi="宋体" w:eastAsia="宋体" w:cs="宋体"/>
          <w:bCs/>
          <w:color w:val="000000"/>
          <w:sz w:val="24"/>
          <w:szCs w:val="24"/>
          <w:highlight w:val="none"/>
        </w:rPr>
        <w:t>因施工场地窄小、场内施工不便等需要增加的各种费用；</w:t>
      </w:r>
    </w:p>
    <w:p w14:paraId="1CC69B6B">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i.</w:t>
      </w:r>
      <w:r>
        <w:rPr>
          <w:rFonts w:hint="eastAsia" w:ascii="宋体" w:hAnsi="宋体" w:eastAsia="宋体" w:cs="宋体"/>
          <w:bCs/>
          <w:color w:val="000000"/>
          <w:sz w:val="24"/>
          <w:szCs w:val="24"/>
          <w:highlight w:val="none"/>
        </w:rPr>
        <w:t>在工程施工中有经验的承包人应能预计</w:t>
      </w:r>
      <w:r>
        <w:rPr>
          <w:rFonts w:hint="eastAsia" w:ascii="宋体" w:hAnsi="宋体" w:eastAsia="宋体" w:cs="宋体"/>
          <w:bCs/>
          <w:color w:val="000000"/>
          <w:sz w:val="24"/>
          <w:szCs w:val="24"/>
          <w:highlight w:val="none"/>
          <w:lang w:eastAsia="zh-CN"/>
        </w:rPr>
        <w:t>的其他费用</w:t>
      </w:r>
      <w:r>
        <w:rPr>
          <w:rFonts w:hint="eastAsia" w:ascii="宋体" w:hAnsi="宋体" w:eastAsia="宋体" w:cs="宋体"/>
          <w:bCs/>
          <w:color w:val="000000"/>
          <w:sz w:val="24"/>
          <w:szCs w:val="24"/>
          <w:highlight w:val="none"/>
        </w:rPr>
        <w:t>。</w:t>
      </w:r>
    </w:p>
    <w:p w14:paraId="42141478">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工程实施中属于招标文件和本合同约定需要投标报价和合同包干风险范围内应考虑的费用，虽经发包人现场签证认可，在工程结算时可认定该签证无效。</w:t>
      </w:r>
    </w:p>
    <w:p w14:paraId="4C3385F1">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风险费用的计算方法：以上风险范围之内的费用承包人已预估并计入投标总价，不再另行计取。</w:t>
      </w:r>
    </w:p>
    <w:p w14:paraId="2AE5BFEA">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3.变更范围</w:t>
      </w:r>
    </w:p>
    <w:p w14:paraId="7E27EC72">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关于</w:t>
      </w:r>
      <w:r>
        <w:rPr>
          <w:rFonts w:hint="eastAsia" w:ascii="宋体" w:hAnsi="宋体" w:eastAsia="宋体" w:cs="宋体"/>
          <w:bCs/>
          <w:sz w:val="24"/>
          <w:szCs w:val="24"/>
          <w:highlight w:val="none"/>
          <w:lang w:eastAsia="zh-CN"/>
        </w:rPr>
        <w:t>变更</w:t>
      </w:r>
      <w:r>
        <w:rPr>
          <w:rFonts w:hint="eastAsia" w:ascii="宋体" w:hAnsi="宋体" w:eastAsia="宋体" w:cs="宋体"/>
          <w:bCs/>
          <w:sz w:val="24"/>
          <w:szCs w:val="24"/>
          <w:highlight w:val="none"/>
        </w:rPr>
        <w:t>范围的约定：按照建设单位及上级管理部门的变更管理办法中的相关规定。</w:t>
      </w:r>
    </w:p>
    <w:p w14:paraId="38E217E6">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施工中发包人需对原工程设计变更，应提前14天以书面形式向承包人发出变更通知。变更超过原设计标准或批准的建设规模时，发包人应报相关管理部门和其他有关部门重新审查批准。承包人按照发包人发出的变更通知、图纸及有关要求进行变更。</w:t>
      </w:r>
    </w:p>
    <w:p w14:paraId="27BF2613">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施工中承包人不得对原工程设计方案进行变更。因承包人擅自变更设计方案发生的费用和由此导致发包人的直接损失，由承包人承担，延误的工期不予顺延。</w:t>
      </w:r>
    </w:p>
    <w:p w14:paraId="48E34DA2">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承包人在施工中提出的合理化建议</w:t>
      </w:r>
      <w:r>
        <w:rPr>
          <w:rFonts w:hint="eastAsia" w:ascii="宋体" w:hAnsi="宋体" w:eastAsia="宋体" w:cs="宋体"/>
          <w:bCs/>
          <w:sz w:val="24"/>
          <w:szCs w:val="24"/>
          <w:highlight w:val="none"/>
          <w:lang w:eastAsia="zh-CN"/>
        </w:rPr>
        <w:t>涉及</w:t>
      </w:r>
      <w:r>
        <w:rPr>
          <w:rFonts w:hint="eastAsia" w:ascii="宋体" w:hAnsi="宋体" w:eastAsia="宋体" w:cs="宋体"/>
          <w:bCs/>
          <w:sz w:val="24"/>
          <w:szCs w:val="24"/>
          <w:highlight w:val="none"/>
        </w:rPr>
        <w:t>对设计图纸或施工组织方案的更改及对材料、设备的换用，须经发包人同意。未经同意擅自更改或换用时，承包人承担由此发生的费用，并赔偿发包人的有关损失，延误的工期不予顺延。</w:t>
      </w:r>
    </w:p>
    <w:p w14:paraId="76F9C8BD">
      <w:pPr>
        <w:pageBreakBefore w:val="0"/>
        <w:widowControl/>
        <w:wordWrap/>
        <w:overflowPunct/>
        <w:topLinePunct w:val="0"/>
        <w:bidi w:val="0"/>
        <w:spacing w:line="440" w:lineRule="exact"/>
        <w:ind w:left="0" w:leftChars="0" w:firstLine="480" w:firstLineChars="200"/>
        <w:jc w:val="both"/>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发包人有可能根据工程需要修改方案或发出指令增加或减少工程量，工程量不论增减多少，承包人均应无条件服从，对因变更增加或减少的工程量，其结算口径按本合同专用条款执行。</w:t>
      </w:r>
    </w:p>
    <w:p w14:paraId="4FE4854D">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变更估价原则：</w:t>
      </w:r>
    </w:p>
    <w:p w14:paraId="4FD4471F">
      <w:pPr>
        <w:spacing w:before="115" w:line="219" w:lineRule="auto"/>
        <w:ind w:left="493"/>
        <w:rPr>
          <w:rFonts w:ascii="宋体" w:hAnsi="宋体" w:eastAsia="宋体" w:cs="宋体"/>
          <w:sz w:val="24"/>
          <w:szCs w:val="24"/>
          <w:highlight w:val="none"/>
        </w:rPr>
      </w:pPr>
      <w:bookmarkStart w:id="4" w:name="_Toc351203485"/>
      <w:r>
        <w:rPr>
          <w:rFonts w:ascii="宋体" w:hAnsi="宋体" w:eastAsia="宋体" w:cs="宋体"/>
          <w:spacing w:val="3"/>
          <w:sz w:val="24"/>
          <w:szCs w:val="24"/>
          <w:highlight w:val="none"/>
        </w:rPr>
        <w:t>关于变更估价的约定</w:t>
      </w:r>
      <w:r>
        <w:rPr>
          <w:rFonts w:hint="eastAsia" w:ascii="宋体" w:hAnsi="宋体" w:eastAsia="宋体" w:cs="宋体"/>
          <w:spacing w:val="3"/>
          <w:sz w:val="24"/>
          <w:szCs w:val="24"/>
          <w:highlight w:val="none"/>
          <w:lang w:eastAsia="zh-CN"/>
        </w:rPr>
        <w:t>：</w:t>
      </w:r>
    </w:p>
    <w:p w14:paraId="5ECA6918">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（1）已标价工程量清单或预算书有相同项目的，按照相同项目单价确定，变更单价按就低不就高，补少不补多，扣多不扣少的原则。</w:t>
      </w:r>
    </w:p>
    <w:p w14:paraId="7EBC09A6">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（2）已标价工程量清单或预算书中无相同项目，但有类似项目的，参照类似项目的单价确定。</w:t>
      </w:r>
    </w:p>
    <w:p w14:paraId="43A2F162">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①清单项目某一特征或工程内容变化，不影响其他特征及工程内容价格的，其他特征组合标准不变，仅调整发生变化的组合子目价格。</w:t>
      </w:r>
    </w:p>
    <w:p w14:paraId="12BEC5F7">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②某种材料（包括半成品或成品）等级、标准发生变化的，清单组价子目不变，仅调整不同材料编制期信息价的差价（计税金）：材料编制期信息价计价顺序依次为《杭州市造价信息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浙江省造价信息》正刊，对造价信息价正刊没有的材料，发包人将在充分市场询价基础上，参照同期同类材料市场价格水平，按照相关规定审批程序签证确定其编制期信息价。</w:t>
      </w:r>
    </w:p>
    <w:p w14:paraId="00E75697">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（3）已标价工程量清单或预算书中无相同项目及类似项目单价的，其单价的确定，按以下约定：</w:t>
      </w:r>
    </w:p>
    <w:p w14:paraId="1B5AF8E5">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①定额套用顺序：新增单价依据《杭州市建设工程工程量清单计价实施细则》（杭建市发</w:t>
      </w:r>
      <w:r>
        <w:rPr>
          <w:rFonts w:hint="eastAsia" w:ascii="宋体" w:hAnsi="宋体" w:eastAsia="宋体" w:cs="宋体"/>
          <w:bCs/>
          <w:sz w:val="24"/>
          <w:szCs w:val="24"/>
          <w:highlight w:val="none"/>
          <w:lang w:eastAsia="zh-CN"/>
        </w:rPr>
        <w:t>〔2018〕578号</w:t>
      </w:r>
      <w:r>
        <w:rPr>
          <w:rFonts w:hint="eastAsia" w:ascii="宋体" w:hAnsi="宋体" w:eastAsia="宋体" w:cs="宋体"/>
          <w:bCs/>
          <w:sz w:val="24"/>
          <w:szCs w:val="24"/>
          <w:highlight w:val="none"/>
        </w:rPr>
        <w:t>）并依次采用浙江省安装工程预算定额（2018版）、浙江省市政工程预算定额（2018版）、浙江省建筑工程预算定额（2018版）、其他定额（如无法直接套用定额的，可参考其他部委类似定额自行补充）；</w:t>
      </w:r>
    </w:p>
    <w:p w14:paraId="2815B8B6">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②材料单价：按投标截止时间日前28日历天所在月份的杭州市公开发布的《杭州造价信息》计算，信息价中没有的材料价格经发包人、承包人市场调查询价后，参照施工期同类材料市场价格水平，并形成市场询价资料，按照相关规定审批程序签证确定；</w:t>
      </w:r>
    </w:p>
    <w:p w14:paraId="58143772">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③费率：按采用的相应定额取费标准（中值），规费、税金、农民工工伤保险按投标口径执行；</w:t>
      </w:r>
    </w:p>
    <w:p w14:paraId="795E10EB">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④优惠幅度：新增综合单价按上述①、②、③原则计算后乘以（1-承包人报价浮动率L）得出结算单价，承包人报价浮动率L=（1-中标价÷招标控制价）×100%。</w:t>
      </w:r>
    </w:p>
    <w:p w14:paraId="62CC00EB">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⑤当零星工程发生签证人工、机械台班数量，人工和机械台班单价有投标价的执行投标价，无投标价的执行相应定额并按投标口径同比例优惠。</w:t>
      </w:r>
    </w:p>
    <w:p w14:paraId="2D1ABA52">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4）工程量清单错误和（或）设计变更导致实际完成的工程量与已标价工程量清单或预算书中列明的该项目工程量的变化幅度超过以下情况的，其单价允许调整：凡合价金额占合同总价2%及以上的分部分项清单项目，其工程量增加或减少超过本项目工程数量15%及以上时，或者合价金额占合同总价不到2%的分部分项清单项目，但其工程量增加或减少超过本项目工程数量25%以上时。工程量偏差超过上述变化幅度之外变动部分的相应单价调整方法按以下方式约定：</w:t>
      </w:r>
    </w:p>
    <w:p w14:paraId="366B9708">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按照《建设工程工程量清单计价规范》（GB50500-2013）9.6.2条规定，增加部分的工程量的综合单价应予调低，减少后剩余部分的工程量的综合单价应予调高，可按下列公式调整</w:t>
      </w:r>
      <w:r>
        <w:rPr>
          <w:rFonts w:hint="eastAsia" w:ascii="宋体" w:hAnsi="宋体" w:eastAsia="宋体" w:cs="宋体"/>
          <w:bCs/>
          <w:sz w:val="24"/>
          <w:szCs w:val="24"/>
          <w:highlight w:val="none"/>
          <w:lang w:eastAsia="zh-CN"/>
        </w:rPr>
        <w:t>：</w:t>
      </w:r>
    </w:p>
    <w:p w14:paraId="22D59B12">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凡合价金额占合同总价2%及以上的分部分项清单项目，</w:t>
      </w:r>
    </w:p>
    <w:p w14:paraId="6EEE5143">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①当Q1&gt;1.15Q0时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S=1.15Q0×P0+（Q1-1.15 Q0）×P1</w:t>
      </w:r>
    </w:p>
    <w:p w14:paraId="19F54165">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②当Q1&lt;0.85Q0时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S=Q1×P1</w:t>
      </w:r>
    </w:p>
    <w:p w14:paraId="12C49F48">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凡合价金额占合同总价不到2%的分部分项清单项目，</w:t>
      </w:r>
    </w:p>
    <w:p w14:paraId="026BF8CE">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③当Q1&gt;1.25Q0时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S=1.25Q0×P0+（Q1-1.25 Q0）×P1</w:t>
      </w:r>
    </w:p>
    <w:p w14:paraId="708FF01F">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④当Q1&lt;0.75Q0时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S=Q1×P1</w:t>
      </w:r>
    </w:p>
    <w:p w14:paraId="4D7785BD">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式中 S——调整后某一分部分项工程费结算价；</w:t>
      </w:r>
    </w:p>
    <w:p w14:paraId="4AAF9E2E">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ab/>
      </w:r>
      <w:r>
        <w:rPr>
          <w:rFonts w:hint="eastAsia" w:ascii="宋体" w:hAnsi="宋体" w:eastAsia="宋体" w:cs="宋体"/>
          <w:bCs/>
          <w:sz w:val="24"/>
          <w:szCs w:val="24"/>
          <w:highlight w:val="none"/>
        </w:rPr>
        <w:t>Q1——最终完成的工程量；</w:t>
      </w:r>
    </w:p>
    <w:p w14:paraId="11F5FA28">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ab/>
      </w:r>
      <w:r>
        <w:rPr>
          <w:rFonts w:hint="eastAsia" w:ascii="宋体" w:hAnsi="宋体" w:eastAsia="宋体" w:cs="宋体"/>
          <w:bCs/>
          <w:sz w:val="24"/>
          <w:szCs w:val="24"/>
          <w:highlight w:val="none"/>
        </w:rPr>
        <w:t>Q0——招标工程量清单中列出的工程量；</w:t>
      </w:r>
    </w:p>
    <w:p w14:paraId="359BE331">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ab/>
      </w:r>
      <w:r>
        <w:rPr>
          <w:rFonts w:hint="eastAsia" w:ascii="宋体" w:hAnsi="宋体" w:eastAsia="宋体" w:cs="宋体"/>
          <w:bCs/>
          <w:sz w:val="24"/>
          <w:szCs w:val="24"/>
          <w:highlight w:val="none"/>
        </w:rPr>
        <w:t>P0——承包人在已标价工程量清单中填报的综合单价</w:t>
      </w:r>
    </w:p>
    <w:p w14:paraId="0492711A">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ab/>
      </w:r>
      <w:r>
        <w:rPr>
          <w:rFonts w:hint="eastAsia" w:ascii="宋体" w:hAnsi="宋体" w:eastAsia="宋体" w:cs="宋体"/>
          <w:bCs/>
          <w:sz w:val="24"/>
          <w:szCs w:val="24"/>
          <w:highlight w:val="none"/>
        </w:rPr>
        <w:t>P1——按照最终完成工程量重新调整后的综合单价，按本合同</w:t>
      </w:r>
      <w:r>
        <w:rPr>
          <w:rFonts w:hint="eastAsia" w:ascii="宋体" w:hAnsi="宋体" w:eastAsia="宋体" w:cs="宋体"/>
          <w:bCs/>
          <w:sz w:val="24"/>
          <w:szCs w:val="24"/>
          <w:highlight w:val="none"/>
          <w:lang w:val="en-US" w:eastAsia="zh-CN"/>
        </w:rPr>
        <w:t>本条款</w:t>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 xml:space="preserve">条（3）款约定的组价方法计算。结算单价的确定，在P1和P0进行比较，在工程量增加时，若计算结果大于P0的，结算单价取P0，在工程量减少时，若计算结果小于P0的，结算单价取P0。  </w:t>
      </w:r>
    </w:p>
    <w:p w14:paraId="103F1CD7">
      <w:pPr>
        <w:spacing w:before="116" w:line="220" w:lineRule="auto"/>
        <w:ind w:left="507"/>
        <w:rPr>
          <w:rFonts w:ascii="宋体" w:hAnsi="宋体" w:eastAsia="宋体" w:cs="宋体"/>
          <w:sz w:val="24"/>
          <w:szCs w:val="24"/>
          <w:highlight w:val="none"/>
        </w:rPr>
      </w:pPr>
      <w:r>
        <w:rPr>
          <w:rFonts w:hint="eastAsia" w:ascii="宋体" w:hAnsi="宋体" w:eastAsia="宋体" w:cs="宋体"/>
          <w:spacing w:val="-5"/>
          <w:sz w:val="24"/>
          <w:szCs w:val="24"/>
          <w:highlight w:val="none"/>
          <w:lang w:val="en-US" w:eastAsia="zh-CN"/>
        </w:rPr>
        <w:t>5.</w:t>
      </w:r>
      <w:r>
        <w:rPr>
          <w:rFonts w:ascii="宋体" w:hAnsi="宋体" w:eastAsia="宋体" w:cs="宋体"/>
          <w:spacing w:val="-5"/>
          <w:sz w:val="24"/>
          <w:szCs w:val="24"/>
          <w:highlight w:val="none"/>
        </w:rPr>
        <w:t>暂列金额</w:t>
      </w:r>
    </w:p>
    <w:p w14:paraId="40E5449A">
      <w:pPr>
        <w:spacing w:before="113" w:line="308" w:lineRule="auto"/>
        <w:ind w:left="11" w:right="188" w:firstLine="479"/>
        <w:rPr>
          <w:rFonts w:hint="eastAsia" w:ascii="宋体" w:hAnsi="宋体" w:eastAsia="宋体" w:cs="宋体"/>
          <w:bCs/>
          <w:sz w:val="24"/>
          <w:szCs w:val="24"/>
          <w:highlight w:val="none"/>
          <w:lang w:val="en-US" w:eastAsia="zh-CN"/>
        </w:rPr>
      </w:pPr>
      <w:r>
        <w:rPr>
          <w:rFonts w:ascii="宋体" w:hAnsi="宋体" w:eastAsia="宋体" w:cs="宋体"/>
          <w:spacing w:val="6"/>
          <w:sz w:val="24"/>
          <w:szCs w:val="24"/>
          <w:highlight w:val="none"/>
        </w:rPr>
        <w:t>合同当事人关于暂列金额使用的约定：</w:t>
      </w:r>
      <w:r>
        <w:rPr>
          <w:rFonts w:ascii="宋体" w:hAnsi="宋体" w:eastAsia="宋体" w:cs="宋体"/>
          <w:spacing w:val="6"/>
          <w:sz w:val="24"/>
          <w:szCs w:val="24"/>
          <w:highlight w:val="none"/>
          <w:u w:val="single" w:color="auto"/>
        </w:rPr>
        <w:t>暂列金额</w:t>
      </w:r>
      <w:r>
        <w:rPr>
          <w:rFonts w:ascii="宋体" w:hAnsi="宋体" w:eastAsia="宋体" w:cs="宋体"/>
          <w:spacing w:val="5"/>
          <w:sz w:val="24"/>
          <w:szCs w:val="24"/>
          <w:highlight w:val="none"/>
          <w:u w:val="single" w:color="auto"/>
        </w:rPr>
        <w:t>作为不可预见费，实际发生时</w:t>
      </w:r>
      <w:r>
        <w:rPr>
          <w:rFonts w:ascii="宋体" w:hAnsi="宋体" w:eastAsia="宋体" w:cs="宋体"/>
          <w:spacing w:val="-1"/>
          <w:sz w:val="24"/>
          <w:szCs w:val="24"/>
          <w:highlight w:val="none"/>
          <w:u w:val="single" w:color="auto"/>
        </w:rPr>
        <w:t>按实结算，不发生时不予支付</w:t>
      </w:r>
      <w:r>
        <w:rPr>
          <w:rFonts w:ascii="宋体" w:hAnsi="宋体" w:eastAsia="宋体" w:cs="宋体"/>
          <w:spacing w:val="-1"/>
          <w:sz w:val="24"/>
          <w:szCs w:val="24"/>
          <w:highlight w:val="none"/>
        </w:rPr>
        <w:t>。</w:t>
      </w:r>
    </w:p>
    <w:p w14:paraId="76688957">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甲、乙双方约定：</w:t>
      </w:r>
      <w:r>
        <w:rPr>
          <w:rFonts w:hint="eastAsia" w:ascii="宋体" w:hAnsi="宋体" w:eastAsia="宋体" w:cs="宋体"/>
          <w:bCs/>
          <w:sz w:val="24"/>
          <w:szCs w:val="24"/>
          <w:highlight w:val="none"/>
          <w:u w:val="single"/>
        </w:rPr>
        <w:t>本工程由</w:t>
      </w:r>
      <w:r>
        <w:rPr>
          <w:rFonts w:hint="eastAsia" w:ascii="宋体" w:hAnsi="宋体" w:eastAsia="宋体" w:cs="宋体"/>
          <w:bCs/>
          <w:sz w:val="24"/>
          <w:szCs w:val="24"/>
          <w:highlight w:val="none"/>
          <w:u w:val="single"/>
          <w:lang w:eastAsia="zh-CN"/>
        </w:rPr>
        <w:t>发包人</w:t>
      </w:r>
      <w:r>
        <w:rPr>
          <w:rFonts w:hint="eastAsia" w:ascii="宋体" w:hAnsi="宋体" w:eastAsia="宋体" w:cs="宋体"/>
          <w:bCs/>
          <w:sz w:val="24"/>
          <w:szCs w:val="24"/>
          <w:highlight w:val="none"/>
          <w:u w:val="single"/>
        </w:rPr>
        <w:t>委托社会工程造价咨询企业进行结算审核。</w:t>
      </w:r>
    </w:p>
    <w:p w14:paraId="16B60B88">
      <w:pPr>
        <w:pageBreakBefore w:val="0"/>
        <w:widowControl/>
        <w:wordWrap/>
        <w:overflowPunct/>
        <w:topLinePunct w:val="0"/>
        <w:bidi w:val="0"/>
        <w:spacing w:line="440" w:lineRule="exact"/>
        <w:ind w:left="0" w:leftChars="0" w:firstLine="482" w:firstLineChars="200"/>
        <w:jc w:val="both"/>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六、</w:t>
      </w:r>
      <w:bookmarkEnd w:id="4"/>
      <w:r>
        <w:rPr>
          <w:rFonts w:hint="eastAsia" w:ascii="宋体" w:hAnsi="宋体" w:eastAsia="宋体" w:cs="宋体"/>
          <w:b/>
          <w:bCs w:val="0"/>
          <w:color w:val="000000"/>
          <w:sz w:val="24"/>
          <w:szCs w:val="24"/>
          <w:highlight w:val="none"/>
        </w:rPr>
        <w:t>项目经理</w:t>
      </w:r>
    </w:p>
    <w:p w14:paraId="47141E19">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bookmarkStart w:id="5" w:name="_Toc351203487"/>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承包人对项目经理的授权范围如下：全面负责该项目的实施，全权代表承包人履行本合同，其所有行为均得到承包人的充分授权而由承包人承认。承包人未提交劳动合同， 以及没有为项目经理缴纳社会保险证明的违约责任：由承包人自行承担相关责任，且发包人有权要求更换项目经理，并通报有关主管部门进行处罚。</w:t>
      </w:r>
    </w:p>
    <w:p w14:paraId="3C6FF2C3">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姓    名：</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rPr>
        <w:t>；</w:t>
      </w:r>
    </w:p>
    <w:p w14:paraId="26BEC2CE">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身份证号：</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rPr>
        <w:t>；</w:t>
      </w:r>
    </w:p>
    <w:p w14:paraId="3EBF1100">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建造师执业资格等级：</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rPr>
        <w:t>；</w:t>
      </w:r>
    </w:p>
    <w:p w14:paraId="32223F41">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建造师注册证书号：</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rPr>
        <w:t>；</w:t>
      </w:r>
    </w:p>
    <w:p w14:paraId="5F287A1B">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建造师执业印章号：</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rPr>
        <w:t>；</w:t>
      </w:r>
    </w:p>
    <w:p w14:paraId="0D5D77CD">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安全生产考核合格证书号：</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rPr>
        <w:t>；</w:t>
      </w:r>
    </w:p>
    <w:p w14:paraId="5D1D9C25">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联系电话：</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rPr>
        <w:t>；</w:t>
      </w:r>
    </w:p>
    <w:p w14:paraId="686B9A7A">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电子信箱：</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rPr>
        <w:t>；</w:t>
      </w:r>
    </w:p>
    <w:p w14:paraId="3F34A26A">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
          <w:bCs w:val="0"/>
          <w:sz w:val="24"/>
          <w:szCs w:val="24"/>
          <w:highlight w:val="none"/>
        </w:rPr>
      </w:pPr>
      <w:r>
        <w:rPr>
          <w:rFonts w:hint="eastAsia" w:ascii="宋体" w:hAnsi="宋体" w:eastAsia="宋体" w:cs="宋体"/>
          <w:b w:val="0"/>
          <w:bCs w:val="0"/>
          <w:color w:val="000000"/>
          <w:sz w:val="24"/>
          <w:szCs w:val="24"/>
          <w:highlight w:val="none"/>
        </w:rPr>
        <w:t>通信地址：</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rPr>
        <w:t>；</w:t>
      </w:r>
    </w:p>
    <w:p w14:paraId="7D190A3D">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val="zh-CN" w:eastAsia="zh-CN"/>
        </w:rPr>
        <w:t>承包人确需更换项目经理的，继任项目经理注册执业资格、管理经验的约定：经发包人同意确需更换的，继任项目经理注册执业资格、管理经验不得低于现任项目经理且需发包人同意，同时承包人承担0.2万元/次的违约金。</w:t>
      </w:r>
    </w:p>
    <w:p w14:paraId="19A82A03">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eastAsia="zh-CN"/>
        </w:rPr>
        <w:t>承包人擅自更换项目经理的违约责任：承包人在施工期间不准擅自更换项目经理，承包人擅自更换项目经理的将被视为承包人违约，处以1万元/次的违约金。涉及的工程损失超过违约金部分由承包人承担。</w:t>
      </w:r>
    </w:p>
    <w:p w14:paraId="3B3B2E03">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eastAsia="zh-CN"/>
        </w:rPr>
        <w:t>承包人无正当理由拒绝更换项目经理的违约责任：若原项目经理不能按约定到岗履职的或能力不能满足工作需要的，发包人书面通知承包人进行更换项目经理，承包人未在规定时间内做出更换项目经理的，处以1万元/次的违约金，且责令承包人立即更换，未更换的应视为情节严重发包人有权解除合同，全部责任由承包人自行负责。</w:t>
      </w:r>
    </w:p>
    <w:p w14:paraId="07C8AA4D">
      <w:pPr>
        <w:pageBreakBefore w:val="0"/>
        <w:widowControl/>
        <w:wordWrap/>
        <w:overflowPunct/>
        <w:topLinePunct w:val="0"/>
        <w:bidi w:val="0"/>
        <w:spacing w:line="440" w:lineRule="exact"/>
        <w:ind w:left="0" w:leftChars="0" w:firstLine="482" w:firstLineChars="200"/>
        <w:jc w:val="both"/>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七、质量要求</w:t>
      </w:r>
    </w:p>
    <w:p w14:paraId="252962F3">
      <w:pPr>
        <w:spacing w:before="112" w:line="279" w:lineRule="auto"/>
        <w:ind w:left="10" w:firstLine="485"/>
        <w:rPr>
          <w:rFonts w:ascii="宋体" w:hAnsi="宋体" w:eastAsia="宋体" w:cs="宋体"/>
          <w:sz w:val="24"/>
          <w:szCs w:val="24"/>
          <w:highlight w:val="none"/>
        </w:rPr>
      </w:pPr>
      <w:r>
        <w:rPr>
          <w:rFonts w:hint="eastAsia" w:ascii="宋体" w:hAnsi="宋体" w:eastAsia="宋体" w:cs="宋体"/>
          <w:b w:val="0"/>
          <w:bCs/>
          <w:sz w:val="24"/>
          <w:szCs w:val="24"/>
          <w:highlight w:val="none"/>
          <w:lang w:val="en-US" w:eastAsia="zh-CN"/>
        </w:rPr>
        <w:t>1.</w:t>
      </w:r>
      <w:r>
        <w:rPr>
          <w:rFonts w:ascii="宋体" w:hAnsi="宋体" w:eastAsia="宋体" w:cs="宋体"/>
          <w:spacing w:val="1"/>
          <w:sz w:val="24"/>
          <w:szCs w:val="24"/>
          <w:highlight w:val="none"/>
        </w:rPr>
        <w:t>承包人必须严格按合同条款、施工图纸及设计说明文件、施工</w:t>
      </w:r>
      <w:r>
        <w:rPr>
          <w:rFonts w:ascii="宋体" w:hAnsi="宋体" w:eastAsia="宋体" w:cs="宋体"/>
          <w:sz w:val="24"/>
          <w:szCs w:val="24"/>
          <w:highlight w:val="none"/>
        </w:rPr>
        <w:t>验收规范、</w:t>
      </w:r>
      <w:r>
        <w:rPr>
          <w:rFonts w:ascii="宋体" w:hAnsi="宋体" w:eastAsia="宋体" w:cs="宋体"/>
          <w:spacing w:val="5"/>
          <w:sz w:val="24"/>
          <w:szCs w:val="24"/>
          <w:highlight w:val="none"/>
        </w:rPr>
        <w:t>国家和省市的有关质量验收标准，精心组织施工，确保工程质量达到国家合格验收</w:t>
      </w:r>
      <w:r>
        <w:rPr>
          <w:rFonts w:ascii="宋体" w:hAnsi="宋体" w:eastAsia="宋体" w:cs="宋体"/>
          <w:spacing w:val="-10"/>
          <w:sz w:val="24"/>
          <w:szCs w:val="24"/>
          <w:highlight w:val="none"/>
        </w:rPr>
        <w:t>标准。</w:t>
      </w:r>
    </w:p>
    <w:p w14:paraId="08B351CE">
      <w:pPr>
        <w:spacing w:before="112" w:line="279" w:lineRule="auto"/>
        <w:ind w:left="10" w:firstLine="485"/>
        <w:rPr>
          <w:rFonts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2.</w:t>
      </w:r>
      <w:r>
        <w:rPr>
          <w:rFonts w:ascii="宋体" w:hAnsi="宋体" w:eastAsia="宋体" w:cs="宋体"/>
          <w:spacing w:val="1"/>
          <w:sz w:val="24"/>
          <w:szCs w:val="24"/>
          <w:highlight w:val="none"/>
        </w:rPr>
        <w:t>承包人如未按设计要求和规范规定进行施工而造成返工</w:t>
      </w:r>
      <w:r>
        <w:rPr>
          <w:rFonts w:hint="eastAsia" w:ascii="宋体" w:hAnsi="宋体" w:eastAsia="宋体" w:cs="宋体"/>
          <w:spacing w:val="1"/>
          <w:sz w:val="24"/>
          <w:szCs w:val="24"/>
          <w:highlight w:val="none"/>
          <w:lang w:val="en-US" w:eastAsia="zh-CN"/>
        </w:rPr>
        <w:t>返修</w:t>
      </w:r>
      <w:r>
        <w:rPr>
          <w:rFonts w:ascii="宋体" w:hAnsi="宋体" w:eastAsia="宋体" w:cs="宋体"/>
          <w:spacing w:val="1"/>
          <w:sz w:val="24"/>
          <w:szCs w:val="24"/>
          <w:highlight w:val="none"/>
        </w:rPr>
        <w:t>的，由此造成的所有责任和经济损失均由</w:t>
      </w:r>
      <w:r>
        <w:rPr>
          <w:rFonts w:hint="eastAsia" w:ascii="宋体" w:hAnsi="宋体" w:eastAsia="宋体" w:cs="宋体"/>
          <w:spacing w:val="1"/>
          <w:sz w:val="24"/>
          <w:szCs w:val="24"/>
          <w:highlight w:val="none"/>
          <w:lang w:eastAsia="zh-CN"/>
        </w:rPr>
        <w:t>承包人</w:t>
      </w:r>
      <w:r>
        <w:rPr>
          <w:rFonts w:ascii="宋体" w:hAnsi="宋体" w:eastAsia="宋体" w:cs="宋体"/>
          <w:spacing w:val="1"/>
          <w:sz w:val="24"/>
          <w:szCs w:val="24"/>
          <w:highlight w:val="none"/>
        </w:rPr>
        <w:t>承担。</w:t>
      </w:r>
    </w:p>
    <w:p w14:paraId="7E979362">
      <w:pPr>
        <w:spacing w:before="112" w:line="279" w:lineRule="auto"/>
        <w:ind w:left="10" w:firstLine="485"/>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3.质量验收标准：按招标文件要求执行。</w:t>
      </w:r>
    </w:p>
    <w:p w14:paraId="3F0D0181">
      <w:pPr>
        <w:pStyle w:val="5"/>
        <w:pageBreakBefore w:val="0"/>
        <w:widowControl/>
        <w:wordWrap/>
        <w:overflowPunct/>
        <w:topLinePunct w:val="0"/>
        <w:bidi w:val="0"/>
        <w:spacing w:line="440" w:lineRule="exact"/>
        <w:ind w:left="1104" w:leftChars="200" w:hanging="624" w:hangingChars="259"/>
        <w:jc w:val="both"/>
        <w:rPr>
          <w:rFonts w:hint="eastAsia" w:ascii="宋体" w:hAnsi="宋体" w:eastAsia="宋体" w:cs="宋体"/>
          <w:b/>
          <w:bCs w:val="0"/>
          <w:color w:val="000000"/>
          <w:sz w:val="24"/>
          <w:szCs w:val="24"/>
          <w:highlight w:val="none"/>
        </w:rPr>
      </w:pPr>
      <w:r>
        <w:rPr>
          <w:rFonts w:hint="eastAsia" w:ascii="宋体" w:hAnsi="宋体" w:cs="宋体"/>
          <w:b/>
          <w:bCs w:val="0"/>
          <w:sz w:val="24"/>
          <w:szCs w:val="24"/>
          <w:highlight w:val="none"/>
          <w:lang w:val="en-US" w:eastAsia="zh-CN"/>
        </w:rPr>
        <w:t>八</w:t>
      </w:r>
      <w:r>
        <w:rPr>
          <w:rFonts w:hint="eastAsia" w:ascii="宋体" w:hAnsi="宋体" w:eastAsia="宋体" w:cs="宋体"/>
          <w:b/>
          <w:bCs w:val="0"/>
          <w:sz w:val="24"/>
          <w:szCs w:val="24"/>
          <w:highlight w:val="none"/>
        </w:rPr>
        <w:t>、</w:t>
      </w:r>
      <w:r>
        <w:rPr>
          <w:rFonts w:hint="eastAsia" w:ascii="宋体" w:hAnsi="宋体" w:eastAsia="宋体" w:cs="宋体"/>
          <w:b/>
          <w:bCs w:val="0"/>
          <w:color w:val="000000"/>
          <w:sz w:val="24"/>
          <w:szCs w:val="24"/>
          <w:highlight w:val="none"/>
        </w:rPr>
        <w:t>付款方式</w:t>
      </w:r>
    </w:p>
    <w:p w14:paraId="3EE0189D">
      <w:pPr>
        <w:pageBreakBefore w:val="0"/>
        <w:widowControl/>
        <w:numPr>
          <w:ilvl w:val="0"/>
          <w:numId w:val="0"/>
        </w:numPr>
        <w:wordWrap/>
        <w:overflowPunct/>
        <w:topLinePunct w:val="0"/>
        <w:bidi w:val="0"/>
        <w:spacing w:line="44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lang w:val="en-US" w:eastAsia="zh-CN" w:bidi="ar-SA"/>
        </w:rPr>
        <w:t>1.</w:t>
      </w:r>
      <w:r>
        <w:rPr>
          <w:rFonts w:hint="eastAsia" w:ascii="宋体" w:hAnsi="宋体" w:eastAsia="宋体" w:cs="宋体"/>
          <w:bCs/>
          <w:color w:val="000000"/>
          <w:sz w:val="24"/>
          <w:szCs w:val="24"/>
          <w:highlight w:val="none"/>
        </w:rPr>
        <w:t>预付款：</w:t>
      </w:r>
      <w:r>
        <w:rPr>
          <w:rFonts w:hint="eastAsia" w:ascii="宋体" w:hAnsi="宋体" w:eastAsia="宋体" w:cs="宋体"/>
          <w:bCs/>
          <w:color w:val="000000"/>
          <w:sz w:val="24"/>
          <w:szCs w:val="24"/>
          <w:highlight w:val="none"/>
          <w:u w:val="single"/>
          <w:lang w:val="en-US" w:eastAsia="zh-CN"/>
        </w:rPr>
        <w:t>本合同无预付款</w:t>
      </w:r>
      <w:r>
        <w:rPr>
          <w:rFonts w:hint="eastAsia" w:ascii="宋体" w:hAnsi="宋体" w:eastAsia="宋体" w:cs="宋体"/>
          <w:color w:val="000000"/>
          <w:sz w:val="24"/>
          <w:szCs w:val="24"/>
          <w:highlight w:val="none"/>
          <w:u w:val="single"/>
        </w:rPr>
        <w:t>。</w:t>
      </w:r>
    </w:p>
    <w:p w14:paraId="11FEEAFB">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yellow"/>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工程进度款：</w:t>
      </w:r>
      <w:r>
        <w:rPr>
          <w:rFonts w:hint="eastAsia" w:ascii="宋体" w:hAnsi="宋体" w:eastAsia="宋体" w:cs="宋体"/>
          <w:color w:val="auto"/>
          <w:sz w:val="24"/>
          <w:szCs w:val="24"/>
          <w:highlight w:val="none"/>
        </w:rPr>
        <w:t>工程进度款按月支付，经发包人及</w:t>
      </w:r>
      <w:r>
        <w:rPr>
          <w:rFonts w:hint="eastAsia" w:ascii="宋体" w:hAnsi="宋体" w:eastAsia="宋体" w:cs="宋体"/>
          <w:color w:val="auto"/>
          <w:sz w:val="24"/>
          <w:szCs w:val="24"/>
          <w:highlight w:val="none"/>
          <w:lang w:val="en-US" w:eastAsia="zh-CN"/>
        </w:rPr>
        <w:t>发包人委托的第三方审计</w:t>
      </w:r>
      <w:r>
        <w:rPr>
          <w:rFonts w:hint="eastAsia" w:ascii="宋体" w:hAnsi="宋体" w:eastAsia="宋体" w:cs="宋体"/>
          <w:color w:val="auto"/>
          <w:sz w:val="24"/>
          <w:szCs w:val="24"/>
          <w:highlight w:val="none"/>
        </w:rPr>
        <w:t>单位审核后支付至上月已完成工程量的8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14:paraId="5D09F510">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进度款审核和支付</w:t>
      </w:r>
    </w:p>
    <w:p w14:paraId="434CF8E6">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（1）进度款审查并报送发包人的期限：发包人应在收到承包人进度付款申请单以及相关资料后7天内完成审查。</w:t>
      </w:r>
    </w:p>
    <w:p w14:paraId="4CF0764F">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发包人支付进度款的期限：发包人收到承包人开具的发票后30工作日内。若承包人存在任何根据合同约定应支付的相应违约金的，承包人应按照合同条款的要求，及时、足额地完成缴纳。若承包人未能按时履行违约金缴纳义务，发包人有权暂时中止工程进度款支付，直至违约金问题得到妥善解决。</w:t>
      </w:r>
    </w:p>
    <w:p w14:paraId="415F98CE">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4.工程结算</w:t>
      </w:r>
    </w:p>
    <w:p w14:paraId="489C835A">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一次性结算。承包人在完成三套布袋除尘器60个净气室防腐工程施工竣工验收合格后，</w:t>
      </w:r>
      <w:r>
        <w:rPr>
          <w:rFonts w:hint="eastAsia" w:ascii="宋体" w:hAnsi="宋体" w:eastAsia="宋体" w:cs="宋体"/>
          <w:color w:val="auto"/>
          <w:sz w:val="24"/>
          <w:szCs w:val="24"/>
          <w:highlight w:val="none"/>
        </w:rPr>
        <w:t>提交完整的相关竣工结算审核资料，经发包人</w:t>
      </w: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rPr>
        <w:t>的第三方审计完成且完整的结算资料归档后30工作日内支付至审定价的98.5%（发包人的上级集团公司有权对本项目进行结算复审，如本项目需结算复审的，最终以结算复审审定的工程结算审核造价为准）。剩余结算审定价的1.5%作为质量保证金，</w:t>
      </w:r>
      <w:r>
        <w:rPr>
          <w:rFonts w:hint="eastAsia" w:ascii="宋体" w:hAnsi="宋体" w:eastAsia="宋体" w:cs="宋体"/>
          <w:color w:val="auto"/>
          <w:sz w:val="24"/>
          <w:szCs w:val="24"/>
          <w:highlight w:val="none"/>
          <w:lang w:val="en-US" w:eastAsia="zh-CN"/>
        </w:rPr>
        <w:t>单套布袋除尘器20个净气室防腐工程施工的</w:t>
      </w:r>
      <w:r>
        <w:rPr>
          <w:rFonts w:hint="eastAsia" w:ascii="宋体" w:hAnsi="宋体" w:eastAsia="宋体" w:cs="宋体"/>
          <w:color w:val="auto"/>
          <w:sz w:val="24"/>
          <w:szCs w:val="24"/>
          <w:highlight w:val="none"/>
        </w:rPr>
        <w:t>质保期为施工竣工验收合格后起算满</w:t>
      </w:r>
      <w:r>
        <w:rPr>
          <w:rFonts w:hint="eastAsia" w:ascii="宋体" w:hAnsi="宋体" w:eastAsia="宋体" w:cs="宋体"/>
          <w:color w:val="auto"/>
          <w:sz w:val="24"/>
          <w:szCs w:val="24"/>
          <w:highlight w:val="none"/>
          <w:lang w:val="en-US" w:eastAsia="zh-CN"/>
        </w:rPr>
        <w:t>12个月</w:t>
      </w:r>
      <w:r>
        <w:rPr>
          <w:rFonts w:hint="eastAsia" w:ascii="宋体" w:hAnsi="宋体" w:eastAsia="宋体" w:cs="宋体"/>
          <w:color w:val="auto"/>
          <w:sz w:val="24"/>
          <w:szCs w:val="24"/>
          <w:highlight w:val="none"/>
        </w:rPr>
        <w:t>，质保金待</w:t>
      </w:r>
      <w:r>
        <w:rPr>
          <w:rFonts w:hint="eastAsia" w:ascii="宋体" w:hAnsi="宋体" w:eastAsia="宋体" w:cs="宋体"/>
          <w:color w:val="auto"/>
          <w:sz w:val="24"/>
          <w:szCs w:val="24"/>
          <w:highlight w:val="none"/>
          <w:lang w:val="en-US" w:eastAsia="zh-CN"/>
        </w:rPr>
        <w:t>三套布袋除尘器60个净气室防腐工程施工的</w:t>
      </w:r>
      <w:r>
        <w:rPr>
          <w:rFonts w:hint="eastAsia" w:ascii="宋体" w:hAnsi="宋体" w:eastAsia="宋体" w:cs="宋体"/>
          <w:color w:val="auto"/>
          <w:sz w:val="24"/>
          <w:szCs w:val="24"/>
          <w:highlight w:val="none"/>
        </w:rPr>
        <w:t>全部质保期结束，并完成质量回访，确认符合相关要求</w:t>
      </w:r>
      <w:r>
        <w:rPr>
          <w:rFonts w:hint="eastAsia" w:ascii="宋体" w:hAnsi="宋体" w:eastAsia="宋体" w:cs="宋体"/>
          <w:color w:val="auto"/>
          <w:sz w:val="24"/>
          <w:szCs w:val="24"/>
          <w:highlight w:val="none"/>
          <w:lang w:val="en-US" w:eastAsia="zh-CN"/>
        </w:rPr>
        <w:t>并完成三套布袋除尘器60个净气室防腐工程施工工程结算审核后</w:t>
      </w:r>
      <w:r>
        <w:rPr>
          <w:rFonts w:hint="eastAsia" w:ascii="宋体" w:hAnsi="宋体" w:eastAsia="宋体" w:cs="宋体"/>
          <w:color w:val="auto"/>
          <w:sz w:val="24"/>
          <w:szCs w:val="24"/>
          <w:highlight w:val="none"/>
        </w:rPr>
        <w:t>一次性结清余款（无息）。质量回访不符合要求且不进行保修的，发包人有权委托其他单位维修，费用从承包人应付质保金中扣除在承包人领取工程款时，应提供与工程款同等数额的工程款发票，否则，发包人有权拒绝支付工程款。</w:t>
      </w:r>
    </w:p>
    <w:p w14:paraId="2FF72FE1">
      <w:pPr>
        <w:pageBreakBefore w:val="0"/>
        <w:widowControl/>
        <w:wordWrap/>
        <w:overflowPunct/>
        <w:topLinePunct w:val="0"/>
        <w:bidi w:val="0"/>
        <w:spacing w:line="440" w:lineRule="exact"/>
        <w:ind w:left="0" w:leftChars="0" w:firstLine="482" w:firstLineChars="200"/>
        <w:jc w:val="both"/>
        <w:rPr>
          <w:rFonts w:hint="default" w:ascii="宋体" w:hAnsi="宋体" w:eastAsia="宋体" w:cs="宋体"/>
          <w:b/>
          <w:bCs w:val="0"/>
          <w:color w:val="000000"/>
          <w:sz w:val="24"/>
          <w:szCs w:val="24"/>
          <w:highlight w:val="none"/>
          <w:lang w:val="en-US" w:eastAsia="zh-CN"/>
        </w:rPr>
      </w:pPr>
    </w:p>
    <w:p w14:paraId="3002940E">
      <w:pPr>
        <w:pageBreakBefore w:val="0"/>
        <w:widowControl/>
        <w:wordWrap/>
        <w:overflowPunct/>
        <w:topLinePunct w:val="0"/>
        <w:bidi w:val="0"/>
        <w:spacing w:line="440" w:lineRule="exact"/>
        <w:ind w:left="0" w:leftChars="0" w:firstLine="482" w:firstLineChars="200"/>
        <w:jc w:val="both"/>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九、</w:t>
      </w:r>
      <w:r>
        <w:rPr>
          <w:rFonts w:hint="eastAsia" w:ascii="宋体" w:hAnsi="宋体" w:eastAsia="宋体" w:cs="宋体"/>
          <w:b/>
          <w:bCs w:val="0"/>
          <w:color w:val="000000"/>
          <w:sz w:val="24"/>
          <w:szCs w:val="24"/>
          <w:highlight w:val="none"/>
        </w:rPr>
        <w:t>竣工退场</w:t>
      </w:r>
    </w:p>
    <w:p w14:paraId="2AA923E9">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承包人完成竣工退场的期限：竣工验收通过10天内。</w:t>
      </w:r>
    </w:p>
    <w:p w14:paraId="73A30BF3">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竣工退场其他要求：及时清理施工现场（土地红线） 内或明显属于本工程所有的成品、半成品材料、施工机具、渣土及建筑垃圾等，符合项目正常使用要求。及时清理场地内、场地外以本工程施工名义搭设的施工临时设施、建（构）筑物，并恢复原样。</w:t>
      </w:r>
    </w:p>
    <w:p w14:paraId="7786226E">
      <w:pPr>
        <w:pageBreakBefore w:val="0"/>
        <w:widowControl/>
        <w:wordWrap/>
        <w:overflowPunct/>
        <w:topLinePunct w:val="0"/>
        <w:bidi w:val="0"/>
        <w:spacing w:line="440" w:lineRule="exact"/>
        <w:ind w:left="0" w:leftChars="0" w:firstLine="482" w:firstLineChars="200"/>
        <w:jc w:val="both"/>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十</w:t>
      </w:r>
      <w:r>
        <w:rPr>
          <w:rFonts w:hint="eastAsia" w:ascii="宋体" w:hAnsi="宋体" w:eastAsia="宋体" w:cs="宋体"/>
          <w:b/>
          <w:bCs w:val="0"/>
          <w:color w:val="000000"/>
          <w:sz w:val="24"/>
          <w:szCs w:val="24"/>
          <w:highlight w:val="none"/>
        </w:rPr>
        <w:t>、</w:t>
      </w:r>
      <w:r>
        <w:rPr>
          <w:rFonts w:hint="eastAsia" w:ascii="宋体" w:hAnsi="宋体" w:eastAsia="宋体" w:cs="宋体"/>
          <w:b/>
          <w:bCs w:val="0"/>
          <w:color w:val="000000"/>
          <w:sz w:val="24"/>
          <w:szCs w:val="24"/>
          <w:highlight w:val="none"/>
          <w:lang w:eastAsia="zh-CN"/>
        </w:rPr>
        <w:t>发包人</w:t>
      </w:r>
      <w:r>
        <w:rPr>
          <w:rFonts w:hint="eastAsia" w:ascii="宋体" w:hAnsi="宋体" w:eastAsia="宋体" w:cs="宋体"/>
          <w:b/>
          <w:bCs w:val="0"/>
          <w:color w:val="000000"/>
          <w:sz w:val="24"/>
          <w:szCs w:val="24"/>
          <w:highlight w:val="none"/>
        </w:rPr>
        <w:t>责任</w:t>
      </w:r>
    </w:p>
    <w:p w14:paraId="460E288B">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1.</w:t>
      </w:r>
      <w:r>
        <w:rPr>
          <w:rFonts w:hint="eastAsia" w:ascii="宋体" w:hAnsi="宋体" w:eastAsia="宋体" w:cs="宋体"/>
          <w:bCs/>
          <w:color w:val="000000"/>
          <w:sz w:val="24"/>
          <w:szCs w:val="24"/>
          <w:highlight w:val="none"/>
        </w:rPr>
        <w:t>为</w:t>
      </w:r>
      <w:r>
        <w:rPr>
          <w:rFonts w:hint="eastAsia" w:ascii="宋体" w:hAnsi="宋体" w:eastAsia="宋体" w:cs="宋体"/>
          <w:bCs/>
          <w:color w:val="000000"/>
          <w:sz w:val="24"/>
          <w:szCs w:val="24"/>
          <w:highlight w:val="none"/>
          <w:lang w:eastAsia="zh-CN"/>
        </w:rPr>
        <w:t>承包人</w:t>
      </w:r>
      <w:r>
        <w:rPr>
          <w:rFonts w:hint="eastAsia" w:ascii="宋体" w:hAnsi="宋体" w:eastAsia="宋体" w:cs="宋体"/>
          <w:bCs/>
          <w:color w:val="000000"/>
          <w:sz w:val="24"/>
          <w:szCs w:val="24"/>
          <w:highlight w:val="none"/>
        </w:rPr>
        <w:t>施工提供所需的施工条件。</w:t>
      </w:r>
    </w:p>
    <w:p w14:paraId="06997CF2">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2.</w:t>
      </w:r>
      <w:r>
        <w:rPr>
          <w:rFonts w:hint="eastAsia" w:ascii="宋体" w:hAnsi="宋体" w:eastAsia="宋体" w:cs="宋体"/>
          <w:bCs/>
          <w:color w:val="000000"/>
          <w:sz w:val="24"/>
          <w:szCs w:val="24"/>
          <w:highlight w:val="none"/>
        </w:rPr>
        <w:t>在本协议签订后三个工作日内</w:t>
      </w:r>
      <w:r>
        <w:rPr>
          <w:rFonts w:hint="eastAsia" w:ascii="宋体" w:hAnsi="宋体" w:eastAsia="宋体" w:cs="宋体"/>
          <w:bCs/>
          <w:color w:val="000000"/>
          <w:sz w:val="24"/>
          <w:szCs w:val="24"/>
          <w:highlight w:val="none"/>
          <w:lang w:eastAsia="zh-CN"/>
        </w:rPr>
        <w:t>会同</w:t>
      </w:r>
      <w:r>
        <w:rPr>
          <w:rFonts w:hint="eastAsia" w:ascii="宋体" w:hAnsi="宋体" w:eastAsia="宋体" w:cs="宋体"/>
          <w:bCs/>
          <w:color w:val="000000"/>
          <w:sz w:val="24"/>
          <w:szCs w:val="24"/>
          <w:highlight w:val="none"/>
        </w:rPr>
        <w:t>管理单位、设计单位向</w:t>
      </w:r>
      <w:r>
        <w:rPr>
          <w:rFonts w:hint="eastAsia" w:ascii="宋体" w:hAnsi="宋体" w:eastAsia="宋体" w:cs="宋体"/>
          <w:bCs/>
          <w:color w:val="000000"/>
          <w:sz w:val="24"/>
          <w:szCs w:val="24"/>
          <w:highlight w:val="none"/>
          <w:lang w:eastAsia="zh-CN"/>
        </w:rPr>
        <w:t>承包人</w:t>
      </w:r>
      <w:r>
        <w:rPr>
          <w:rFonts w:hint="eastAsia" w:ascii="宋体" w:hAnsi="宋体" w:eastAsia="宋体" w:cs="宋体"/>
          <w:bCs/>
          <w:color w:val="000000"/>
          <w:sz w:val="24"/>
          <w:szCs w:val="24"/>
          <w:highlight w:val="none"/>
        </w:rPr>
        <w:t>交底施工范围。</w:t>
      </w:r>
    </w:p>
    <w:p w14:paraId="3726C0D8">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3.</w:t>
      </w:r>
      <w:r>
        <w:rPr>
          <w:rFonts w:hint="eastAsia" w:ascii="宋体" w:hAnsi="宋体" w:eastAsia="宋体" w:cs="宋体"/>
          <w:bCs/>
          <w:color w:val="000000"/>
          <w:sz w:val="24"/>
          <w:szCs w:val="24"/>
          <w:highlight w:val="none"/>
        </w:rPr>
        <w:t>有权对</w:t>
      </w:r>
      <w:r>
        <w:rPr>
          <w:rFonts w:hint="eastAsia" w:ascii="宋体" w:hAnsi="宋体" w:eastAsia="宋体" w:cs="宋体"/>
          <w:bCs/>
          <w:color w:val="000000"/>
          <w:sz w:val="24"/>
          <w:szCs w:val="24"/>
          <w:highlight w:val="none"/>
          <w:lang w:eastAsia="zh-CN"/>
        </w:rPr>
        <w:t>承包人</w:t>
      </w:r>
      <w:r>
        <w:rPr>
          <w:rFonts w:hint="eastAsia" w:ascii="宋体" w:hAnsi="宋体" w:eastAsia="宋体" w:cs="宋体"/>
          <w:bCs/>
          <w:color w:val="000000"/>
          <w:sz w:val="24"/>
          <w:szCs w:val="24"/>
          <w:highlight w:val="none"/>
        </w:rPr>
        <w:t>现场施工质量进行监督。</w:t>
      </w:r>
    </w:p>
    <w:p w14:paraId="5F9CFC9A">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4.</w:t>
      </w:r>
      <w:r>
        <w:rPr>
          <w:rFonts w:hint="eastAsia" w:ascii="宋体" w:hAnsi="宋体" w:eastAsia="宋体" w:cs="宋体"/>
          <w:bCs/>
          <w:color w:val="000000"/>
          <w:sz w:val="24"/>
          <w:szCs w:val="24"/>
          <w:highlight w:val="none"/>
        </w:rPr>
        <w:t>在</w:t>
      </w:r>
      <w:r>
        <w:rPr>
          <w:rFonts w:hint="eastAsia" w:ascii="宋体" w:hAnsi="宋体" w:eastAsia="宋体" w:cs="宋体"/>
          <w:bCs/>
          <w:color w:val="000000"/>
          <w:sz w:val="24"/>
          <w:szCs w:val="24"/>
          <w:highlight w:val="none"/>
          <w:lang w:eastAsia="zh-CN"/>
        </w:rPr>
        <w:t>承包人</w:t>
      </w:r>
      <w:r>
        <w:rPr>
          <w:rFonts w:hint="eastAsia" w:ascii="宋体" w:hAnsi="宋体" w:eastAsia="宋体" w:cs="宋体"/>
          <w:bCs/>
          <w:color w:val="000000"/>
          <w:sz w:val="24"/>
          <w:szCs w:val="24"/>
          <w:highlight w:val="none"/>
        </w:rPr>
        <w:t>完工后及时组织验收。</w:t>
      </w:r>
    </w:p>
    <w:p w14:paraId="4909A3C5">
      <w:pPr>
        <w:pageBreakBefore w:val="0"/>
        <w:widowControl/>
        <w:wordWrap/>
        <w:overflowPunct/>
        <w:topLinePunct w:val="0"/>
        <w:bidi w:val="0"/>
        <w:spacing w:line="440" w:lineRule="exact"/>
        <w:ind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5.</w:t>
      </w:r>
      <w:r>
        <w:rPr>
          <w:rFonts w:hint="eastAsia" w:ascii="宋体" w:hAnsi="宋体" w:eastAsia="宋体" w:cs="宋体"/>
          <w:bCs/>
          <w:color w:val="000000"/>
          <w:sz w:val="24"/>
          <w:szCs w:val="24"/>
          <w:highlight w:val="none"/>
        </w:rPr>
        <w:t>支付方式及发票：在</w:t>
      </w:r>
      <w:r>
        <w:rPr>
          <w:rFonts w:hint="eastAsia" w:ascii="宋体" w:hAnsi="宋体" w:eastAsia="宋体" w:cs="宋体"/>
          <w:bCs/>
          <w:color w:val="000000"/>
          <w:sz w:val="24"/>
          <w:szCs w:val="24"/>
          <w:highlight w:val="none"/>
          <w:lang w:eastAsia="zh-CN"/>
        </w:rPr>
        <w:t>承包人</w:t>
      </w:r>
      <w:r>
        <w:rPr>
          <w:rFonts w:hint="eastAsia" w:ascii="宋体" w:hAnsi="宋体" w:eastAsia="宋体" w:cs="宋体"/>
          <w:bCs/>
          <w:color w:val="000000"/>
          <w:sz w:val="24"/>
          <w:szCs w:val="24"/>
          <w:highlight w:val="none"/>
        </w:rPr>
        <w:t>向</w:t>
      </w:r>
      <w:r>
        <w:rPr>
          <w:rFonts w:hint="eastAsia" w:ascii="宋体" w:hAnsi="宋体" w:eastAsia="宋体" w:cs="宋体"/>
          <w:bCs/>
          <w:color w:val="000000"/>
          <w:sz w:val="24"/>
          <w:szCs w:val="24"/>
          <w:highlight w:val="none"/>
          <w:lang w:eastAsia="zh-CN"/>
        </w:rPr>
        <w:t>发包人</w:t>
      </w:r>
      <w:r>
        <w:rPr>
          <w:rFonts w:hint="eastAsia" w:ascii="宋体" w:hAnsi="宋体" w:eastAsia="宋体" w:cs="宋体"/>
          <w:bCs/>
          <w:color w:val="000000"/>
          <w:sz w:val="24"/>
          <w:szCs w:val="24"/>
          <w:highlight w:val="none"/>
        </w:rPr>
        <w:t>开具符合法律法规及</w:t>
      </w:r>
      <w:r>
        <w:rPr>
          <w:rFonts w:hint="eastAsia" w:ascii="宋体" w:hAnsi="宋体" w:eastAsia="宋体" w:cs="宋体"/>
          <w:bCs/>
          <w:color w:val="000000"/>
          <w:sz w:val="24"/>
          <w:szCs w:val="24"/>
          <w:highlight w:val="none"/>
          <w:lang w:eastAsia="zh-CN"/>
        </w:rPr>
        <w:t>发包人</w:t>
      </w:r>
      <w:r>
        <w:rPr>
          <w:rFonts w:hint="eastAsia" w:ascii="宋体" w:hAnsi="宋体" w:eastAsia="宋体" w:cs="宋体"/>
          <w:bCs/>
          <w:color w:val="000000"/>
          <w:sz w:val="24"/>
          <w:szCs w:val="24"/>
          <w:highlight w:val="none"/>
        </w:rPr>
        <w:t>要求的正式发票后，</w:t>
      </w:r>
      <w:r>
        <w:rPr>
          <w:rFonts w:hint="eastAsia" w:ascii="宋体" w:hAnsi="宋体" w:eastAsia="宋体" w:cs="宋体"/>
          <w:bCs/>
          <w:color w:val="000000"/>
          <w:sz w:val="24"/>
          <w:szCs w:val="24"/>
          <w:highlight w:val="none"/>
          <w:lang w:eastAsia="zh-CN"/>
        </w:rPr>
        <w:t>发包人</w:t>
      </w:r>
      <w:r>
        <w:rPr>
          <w:rFonts w:hint="eastAsia" w:ascii="宋体" w:hAnsi="宋体" w:eastAsia="宋体" w:cs="宋体"/>
          <w:bCs/>
          <w:color w:val="000000"/>
          <w:sz w:val="24"/>
          <w:szCs w:val="24"/>
          <w:highlight w:val="none"/>
        </w:rPr>
        <w:t>向</w:t>
      </w:r>
      <w:r>
        <w:rPr>
          <w:rFonts w:hint="eastAsia" w:ascii="宋体" w:hAnsi="宋体" w:eastAsia="宋体" w:cs="宋体"/>
          <w:bCs/>
          <w:color w:val="000000"/>
          <w:sz w:val="24"/>
          <w:szCs w:val="24"/>
          <w:highlight w:val="none"/>
          <w:lang w:eastAsia="zh-CN"/>
        </w:rPr>
        <w:t>承包人</w:t>
      </w:r>
      <w:r>
        <w:rPr>
          <w:rFonts w:hint="eastAsia" w:ascii="宋体" w:hAnsi="宋体" w:eastAsia="宋体" w:cs="宋体"/>
          <w:bCs/>
          <w:color w:val="000000"/>
          <w:sz w:val="24"/>
          <w:szCs w:val="24"/>
          <w:highlight w:val="none"/>
        </w:rPr>
        <w:t>支付款项。</w:t>
      </w:r>
    </w:p>
    <w:p w14:paraId="47B284A7">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FF0000"/>
          <w:sz w:val="24"/>
          <w:szCs w:val="24"/>
          <w:highlight w:val="none"/>
          <w:u w:val="single"/>
        </w:rPr>
      </w:pPr>
      <w:r>
        <w:rPr>
          <w:rFonts w:hint="eastAsia" w:ascii="宋体" w:hAnsi="宋体" w:eastAsia="宋体" w:cs="宋体"/>
          <w:bCs/>
          <w:color w:val="000000"/>
          <w:sz w:val="24"/>
          <w:szCs w:val="24"/>
          <w:highlight w:val="none"/>
          <w:lang w:eastAsia="zh-CN"/>
        </w:rPr>
        <w:t>6.</w:t>
      </w:r>
      <w:r>
        <w:rPr>
          <w:rFonts w:hint="eastAsia" w:ascii="宋体" w:hAnsi="宋体" w:eastAsia="宋体" w:cs="宋体"/>
          <w:bCs/>
          <w:sz w:val="24"/>
          <w:szCs w:val="24"/>
          <w:highlight w:val="none"/>
        </w:rPr>
        <w:t>其他约定：</w:t>
      </w:r>
      <w:r>
        <w:rPr>
          <w:rFonts w:hint="eastAsia" w:ascii="宋体" w:hAnsi="宋体" w:eastAsia="宋体" w:cs="宋体"/>
          <w:sz w:val="24"/>
          <w:szCs w:val="24"/>
          <w:highlight w:val="none"/>
          <w:u w:val="single"/>
        </w:rPr>
        <w:t>关于发包人应负责提供施工所需要的条件，包括：提供用于本工程的水准点、坐标控制点；施工</w:t>
      </w:r>
      <w:r>
        <w:rPr>
          <w:rFonts w:hint="eastAsia" w:ascii="宋体" w:hAnsi="宋体" w:eastAsia="宋体" w:cs="宋体"/>
          <w:sz w:val="24"/>
          <w:szCs w:val="24"/>
          <w:highlight w:val="none"/>
          <w:u w:val="single"/>
          <w:lang w:val="en-US" w:eastAsia="zh-CN"/>
        </w:rPr>
        <w:t>现场</w:t>
      </w:r>
      <w:r>
        <w:rPr>
          <w:rFonts w:hint="eastAsia" w:ascii="宋体" w:hAnsi="宋体" w:eastAsia="宋体" w:cs="宋体"/>
          <w:sz w:val="24"/>
          <w:szCs w:val="24"/>
          <w:highlight w:val="none"/>
          <w:u w:val="single"/>
        </w:rPr>
        <w:t>用水、施工用电均由发包人提供</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费用由发包人承担，但承包人不得浪费水电，造成浪费的水电费由承包人承担。</w:t>
      </w:r>
    </w:p>
    <w:p w14:paraId="1730D357">
      <w:pPr>
        <w:pageBreakBefore w:val="0"/>
        <w:widowControl/>
        <w:wordWrap/>
        <w:overflowPunct/>
        <w:topLinePunct w:val="0"/>
        <w:bidi w:val="0"/>
        <w:spacing w:line="440" w:lineRule="exact"/>
        <w:ind w:left="0" w:leftChars="0" w:firstLine="482" w:firstLineChars="200"/>
        <w:jc w:val="both"/>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十一</w:t>
      </w:r>
      <w:r>
        <w:rPr>
          <w:rFonts w:hint="eastAsia" w:ascii="宋体" w:hAnsi="宋体" w:eastAsia="宋体" w:cs="宋体"/>
          <w:b/>
          <w:bCs w:val="0"/>
          <w:color w:val="000000"/>
          <w:sz w:val="24"/>
          <w:szCs w:val="24"/>
          <w:highlight w:val="none"/>
        </w:rPr>
        <w:t>、</w:t>
      </w:r>
      <w:r>
        <w:rPr>
          <w:rFonts w:hint="eastAsia" w:ascii="宋体" w:hAnsi="宋体" w:eastAsia="宋体" w:cs="宋体"/>
          <w:b/>
          <w:bCs w:val="0"/>
          <w:color w:val="000000"/>
          <w:sz w:val="24"/>
          <w:szCs w:val="24"/>
          <w:highlight w:val="none"/>
          <w:lang w:eastAsia="zh-CN"/>
        </w:rPr>
        <w:t>承包人</w:t>
      </w:r>
      <w:r>
        <w:rPr>
          <w:rFonts w:hint="eastAsia" w:ascii="宋体" w:hAnsi="宋体" w:eastAsia="宋体" w:cs="宋体"/>
          <w:b/>
          <w:bCs w:val="0"/>
          <w:color w:val="000000"/>
          <w:sz w:val="24"/>
          <w:szCs w:val="24"/>
          <w:highlight w:val="none"/>
        </w:rPr>
        <w:t>责任</w:t>
      </w:r>
    </w:p>
    <w:p w14:paraId="11F8D271">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1.</w:t>
      </w:r>
      <w:r>
        <w:rPr>
          <w:rFonts w:hint="eastAsia" w:ascii="宋体" w:hAnsi="宋体" w:eastAsia="宋体" w:cs="宋体"/>
          <w:bCs/>
          <w:color w:val="000000"/>
          <w:sz w:val="24"/>
          <w:szCs w:val="24"/>
          <w:highlight w:val="none"/>
        </w:rPr>
        <w:t>按国家现行标准、规范进行施工。</w:t>
      </w:r>
    </w:p>
    <w:p w14:paraId="446BB10B">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2.</w:t>
      </w:r>
      <w:r>
        <w:rPr>
          <w:rFonts w:hint="eastAsia" w:ascii="宋体" w:hAnsi="宋体" w:eastAsia="宋体" w:cs="宋体"/>
          <w:bCs/>
          <w:color w:val="000000"/>
          <w:sz w:val="24"/>
          <w:szCs w:val="24"/>
          <w:highlight w:val="none"/>
        </w:rPr>
        <w:t>遵守</w:t>
      </w:r>
      <w:r>
        <w:rPr>
          <w:rFonts w:hint="eastAsia" w:ascii="宋体" w:hAnsi="宋体" w:eastAsia="宋体" w:cs="宋体"/>
          <w:bCs/>
          <w:color w:val="000000"/>
          <w:sz w:val="24"/>
          <w:szCs w:val="24"/>
          <w:highlight w:val="none"/>
          <w:lang w:eastAsia="zh-CN"/>
        </w:rPr>
        <w:t>发包人</w:t>
      </w:r>
      <w:r>
        <w:rPr>
          <w:rFonts w:hint="eastAsia" w:ascii="宋体" w:hAnsi="宋体" w:eastAsia="宋体" w:cs="宋体"/>
          <w:bCs/>
          <w:color w:val="000000"/>
          <w:sz w:val="24"/>
          <w:szCs w:val="24"/>
          <w:highlight w:val="none"/>
        </w:rPr>
        <w:t>有关规章制度。</w:t>
      </w:r>
    </w:p>
    <w:p w14:paraId="2902C0C0">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3.</w:t>
      </w:r>
      <w:r>
        <w:rPr>
          <w:rFonts w:hint="eastAsia" w:ascii="宋体" w:hAnsi="宋体" w:eastAsia="宋体" w:cs="宋体"/>
          <w:bCs/>
          <w:color w:val="000000"/>
          <w:sz w:val="24"/>
          <w:szCs w:val="24"/>
          <w:highlight w:val="none"/>
        </w:rPr>
        <w:t>按</w:t>
      </w:r>
      <w:r>
        <w:rPr>
          <w:rFonts w:hint="eastAsia" w:ascii="宋体" w:hAnsi="宋体" w:eastAsia="宋体" w:cs="宋体"/>
          <w:bCs/>
          <w:color w:val="000000"/>
          <w:sz w:val="24"/>
          <w:szCs w:val="24"/>
          <w:highlight w:val="none"/>
          <w:lang w:eastAsia="zh-CN"/>
        </w:rPr>
        <w:t>发包人</w:t>
      </w:r>
      <w:r>
        <w:rPr>
          <w:rFonts w:hint="eastAsia" w:ascii="宋体" w:hAnsi="宋体" w:eastAsia="宋体" w:cs="宋体"/>
          <w:bCs/>
          <w:color w:val="000000"/>
          <w:sz w:val="24"/>
          <w:szCs w:val="24"/>
          <w:highlight w:val="none"/>
        </w:rPr>
        <w:t>的作业指令及进度要求如期完成任务，确保工程质量和安全，不进行转包及违法分包。</w:t>
      </w:r>
    </w:p>
    <w:p w14:paraId="3C9E5D0A">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color w:val="000000"/>
          <w:sz w:val="24"/>
          <w:szCs w:val="24"/>
          <w:highlight w:val="none"/>
          <w:lang w:eastAsia="zh-CN"/>
        </w:rPr>
        <w:t>4.</w:t>
      </w:r>
      <w:r>
        <w:rPr>
          <w:rFonts w:hint="eastAsia" w:ascii="宋体" w:hAnsi="宋体" w:eastAsia="宋体" w:cs="宋体"/>
          <w:bCs/>
          <w:color w:val="000000"/>
          <w:sz w:val="24"/>
          <w:szCs w:val="24"/>
          <w:highlight w:val="none"/>
        </w:rPr>
        <w:t>在</w:t>
      </w:r>
      <w:r>
        <w:rPr>
          <w:rFonts w:hint="eastAsia" w:ascii="宋体" w:hAnsi="宋体" w:eastAsia="宋体" w:cs="宋体"/>
          <w:bCs/>
          <w:sz w:val="24"/>
          <w:szCs w:val="24"/>
          <w:highlight w:val="none"/>
        </w:rPr>
        <w:t>工程现场派驻专职安全人员进行安全生产管理，施工中若发生安全生产事故，责任由</w:t>
      </w:r>
      <w:r>
        <w:rPr>
          <w:rFonts w:hint="eastAsia" w:ascii="宋体" w:hAnsi="宋体" w:eastAsia="宋体" w:cs="宋体"/>
          <w:bCs/>
          <w:sz w:val="24"/>
          <w:szCs w:val="24"/>
          <w:highlight w:val="none"/>
          <w:lang w:eastAsia="zh-CN"/>
        </w:rPr>
        <w:t>承包人</w:t>
      </w:r>
      <w:r>
        <w:rPr>
          <w:rFonts w:hint="eastAsia" w:ascii="宋体" w:hAnsi="宋体" w:eastAsia="宋体" w:cs="宋体"/>
          <w:bCs/>
          <w:sz w:val="24"/>
          <w:szCs w:val="24"/>
          <w:highlight w:val="none"/>
        </w:rPr>
        <w:t>自行承担。</w:t>
      </w:r>
    </w:p>
    <w:p w14:paraId="2CD228D0">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5.</w:t>
      </w:r>
      <w:r>
        <w:rPr>
          <w:rFonts w:hint="eastAsia" w:ascii="宋体" w:hAnsi="宋体" w:eastAsia="宋体" w:cs="宋体"/>
          <w:bCs/>
          <w:sz w:val="24"/>
          <w:szCs w:val="24"/>
          <w:highlight w:val="none"/>
        </w:rPr>
        <w:t>和现场其他单位配合协作。</w:t>
      </w:r>
    </w:p>
    <w:p w14:paraId="1AE5A0B3">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6.承包人</w:t>
      </w:r>
      <w:r>
        <w:rPr>
          <w:rFonts w:hint="eastAsia" w:ascii="宋体" w:hAnsi="宋体" w:eastAsia="宋体" w:cs="宋体"/>
          <w:bCs/>
          <w:sz w:val="24"/>
          <w:szCs w:val="24"/>
          <w:highlight w:val="none"/>
        </w:rPr>
        <w:t>负责做好隐蔽工程检查、工程竣工验收、工程竣工决算编制、维修保养工作。</w:t>
      </w:r>
    </w:p>
    <w:p w14:paraId="651BB31F">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7.承包人</w:t>
      </w:r>
      <w:r>
        <w:rPr>
          <w:rFonts w:hint="eastAsia" w:ascii="宋体" w:hAnsi="宋体" w:eastAsia="宋体" w:cs="宋体"/>
          <w:bCs/>
          <w:sz w:val="24"/>
          <w:szCs w:val="24"/>
          <w:highlight w:val="none"/>
        </w:rPr>
        <w:t>应提供与工程款同等数额且</w:t>
      </w:r>
      <w:r>
        <w:rPr>
          <w:rFonts w:hint="eastAsia" w:ascii="宋体" w:hAnsi="宋体" w:eastAsia="宋体" w:cs="宋体"/>
          <w:bCs/>
          <w:color w:val="000000"/>
          <w:sz w:val="24"/>
          <w:szCs w:val="24"/>
          <w:highlight w:val="none"/>
        </w:rPr>
        <w:t>符合法律法规及</w:t>
      </w:r>
      <w:r>
        <w:rPr>
          <w:rFonts w:hint="eastAsia" w:ascii="宋体" w:hAnsi="宋体" w:eastAsia="宋体" w:cs="宋体"/>
          <w:bCs/>
          <w:color w:val="000000"/>
          <w:sz w:val="24"/>
          <w:szCs w:val="24"/>
          <w:highlight w:val="none"/>
          <w:lang w:eastAsia="zh-CN"/>
        </w:rPr>
        <w:t>发包人</w:t>
      </w:r>
      <w:r>
        <w:rPr>
          <w:rFonts w:hint="eastAsia" w:ascii="宋体" w:hAnsi="宋体" w:eastAsia="宋体" w:cs="宋体"/>
          <w:bCs/>
          <w:sz w:val="24"/>
          <w:szCs w:val="24"/>
          <w:highlight w:val="none"/>
        </w:rPr>
        <w:t>要求的发票，否则</w:t>
      </w:r>
      <w:r>
        <w:rPr>
          <w:rFonts w:hint="eastAsia" w:ascii="宋体" w:hAnsi="宋体" w:eastAsia="宋体" w:cs="宋体"/>
          <w:bCs/>
          <w:sz w:val="24"/>
          <w:szCs w:val="24"/>
          <w:highlight w:val="none"/>
          <w:lang w:eastAsia="zh-CN"/>
        </w:rPr>
        <w:t>发包人</w:t>
      </w:r>
      <w:r>
        <w:rPr>
          <w:rFonts w:hint="eastAsia" w:ascii="宋体" w:hAnsi="宋体" w:eastAsia="宋体" w:cs="宋体"/>
          <w:bCs/>
          <w:sz w:val="24"/>
          <w:szCs w:val="24"/>
          <w:highlight w:val="none"/>
        </w:rPr>
        <w:t>有权拒绝支付工程款。在</w:t>
      </w:r>
      <w:r>
        <w:rPr>
          <w:rFonts w:hint="eastAsia" w:ascii="宋体" w:hAnsi="宋体" w:eastAsia="宋体" w:cs="宋体"/>
          <w:bCs/>
          <w:sz w:val="24"/>
          <w:szCs w:val="24"/>
          <w:highlight w:val="none"/>
          <w:lang w:eastAsia="zh-CN"/>
        </w:rPr>
        <w:t>发包人</w:t>
      </w:r>
      <w:r>
        <w:rPr>
          <w:rFonts w:hint="eastAsia" w:ascii="宋体" w:hAnsi="宋体" w:eastAsia="宋体" w:cs="宋体"/>
          <w:bCs/>
          <w:sz w:val="24"/>
          <w:szCs w:val="24"/>
          <w:highlight w:val="none"/>
        </w:rPr>
        <w:t>支付至工程结算价的98.5%时，</w:t>
      </w:r>
      <w:r>
        <w:rPr>
          <w:rFonts w:hint="eastAsia" w:ascii="宋体" w:hAnsi="宋体" w:eastAsia="宋体" w:cs="宋体"/>
          <w:bCs/>
          <w:sz w:val="24"/>
          <w:szCs w:val="24"/>
          <w:highlight w:val="none"/>
          <w:lang w:eastAsia="zh-CN"/>
        </w:rPr>
        <w:t>承包人</w:t>
      </w:r>
      <w:r>
        <w:rPr>
          <w:rFonts w:hint="eastAsia" w:ascii="宋体" w:hAnsi="宋体" w:eastAsia="宋体" w:cs="宋体"/>
          <w:bCs/>
          <w:sz w:val="24"/>
          <w:szCs w:val="24"/>
          <w:highlight w:val="none"/>
        </w:rPr>
        <w:t>应向</w:t>
      </w:r>
      <w:r>
        <w:rPr>
          <w:rFonts w:hint="eastAsia" w:ascii="宋体" w:hAnsi="宋体" w:eastAsia="宋体" w:cs="宋体"/>
          <w:bCs/>
          <w:sz w:val="24"/>
          <w:szCs w:val="24"/>
          <w:highlight w:val="none"/>
          <w:lang w:eastAsia="zh-CN"/>
        </w:rPr>
        <w:t>发包人</w:t>
      </w:r>
      <w:r>
        <w:rPr>
          <w:rFonts w:hint="eastAsia" w:ascii="宋体" w:hAnsi="宋体" w:eastAsia="宋体" w:cs="宋体"/>
          <w:bCs/>
          <w:sz w:val="24"/>
          <w:szCs w:val="24"/>
          <w:highlight w:val="none"/>
        </w:rPr>
        <w:t>提供工程结算款的全额工程款发票，否则</w:t>
      </w:r>
      <w:r>
        <w:rPr>
          <w:rFonts w:hint="eastAsia" w:ascii="宋体" w:hAnsi="宋体" w:eastAsia="宋体" w:cs="宋体"/>
          <w:bCs/>
          <w:sz w:val="24"/>
          <w:szCs w:val="24"/>
          <w:highlight w:val="none"/>
          <w:lang w:eastAsia="zh-CN"/>
        </w:rPr>
        <w:t>发包人</w:t>
      </w:r>
      <w:r>
        <w:rPr>
          <w:rFonts w:hint="eastAsia" w:ascii="宋体" w:hAnsi="宋体" w:eastAsia="宋体" w:cs="宋体"/>
          <w:bCs/>
          <w:sz w:val="24"/>
          <w:szCs w:val="24"/>
          <w:highlight w:val="none"/>
        </w:rPr>
        <w:t>有权拒绝支付工程款。</w:t>
      </w:r>
    </w:p>
    <w:p w14:paraId="34896D01">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u w:val="single"/>
        </w:rPr>
      </w:pPr>
      <w:r>
        <w:rPr>
          <w:rFonts w:hint="eastAsia" w:ascii="宋体" w:hAnsi="宋体" w:eastAsia="宋体" w:cs="宋体"/>
          <w:bCs/>
          <w:color w:val="000000"/>
          <w:sz w:val="24"/>
          <w:szCs w:val="24"/>
          <w:highlight w:val="none"/>
          <w:lang w:eastAsia="zh-CN"/>
        </w:rPr>
        <w:t>8.</w:t>
      </w:r>
      <w:r>
        <w:rPr>
          <w:rFonts w:hint="eastAsia" w:ascii="宋体" w:hAnsi="宋体" w:eastAsia="宋体" w:cs="宋体"/>
          <w:bCs/>
          <w:color w:val="000000"/>
          <w:sz w:val="24"/>
          <w:szCs w:val="24"/>
          <w:highlight w:val="none"/>
        </w:rPr>
        <w:t>本工程在施工期间，应</w:t>
      </w:r>
      <w:r>
        <w:rPr>
          <w:rFonts w:hint="eastAsia" w:ascii="宋体" w:hAnsi="宋体" w:eastAsia="宋体" w:cs="宋体"/>
          <w:bCs/>
          <w:color w:val="000000"/>
          <w:sz w:val="24"/>
          <w:szCs w:val="24"/>
          <w:highlight w:val="none"/>
          <w:lang w:val="en-US" w:eastAsia="zh-CN"/>
        </w:rPr>
        <w:t>配合</w:t>
      </w:r>
      <w:r>
        <w:rPr>
          <w:rFonts w:hint="eastAsia" w:ascii="宋体" w:hAnsi="宋体" w:eastAsia="宋体" w:cs="宋体"/>
          <w:bCs/>
          <w:color w:val="000000"/>
          <w:sz w:val="24"/>
          <w:szCs w:val="24"/>
          <w:highlight w:val="none"/>
        </w:rPr>
        <w:t>建设单位组织的</w:t>
      </w:r>
      <w:r>
        <w:rPr>
          <w:rFonts w:hint="eastAsia" w:ascii="宋体" w:hAnsi="宋体" w:eastAsia="宋体" w:cs="宋体"/>
          <w:bCs/>
          <w:color w:val="000000"/>
          <w:sz w:val="24"/>
          <w:szCs w:val="24"/>
          <w:highlight w:val="none"/>
          <w:lang w:val="en-US" w:eastAsia="zh-CN"/>
        </w:rPr>
        <w:t>周期性检查</w:t>
      </w:r>
      <w:r>
        <w:rPr>
          <w:rFonts w:hint="eastAsia" w:ascii="宋体" w:hAnsi="宋体" w:eastAsia="宋体" w:cs="宋体"/>
          <w:bCs/>
          <w:color w:val="000000"/>
          <w:sz w:val="24"/>
          <w:szCs w:val="24"/>
          <w:highlight w:val="none"/>
        </w:rPr>
        <w:t>工作，</w:t>
      </w:r>
      <w:r>
        <w:rPr>
          <w:rFonts w:hint="eastAsia" w:ascii="宋体" w:hAnsi="宋体" w:eastAsia="宋体" w:cs="宋体"/>
          <w:bCs/>
          <w:color w:val="000000"/>
          <w:sz w:val="24"/>
          <w:szCs w:val="24"/>
          <w:highlight w:val="none"/>
          <w:lang w:val="en-US" w:eastAsia="zh-CN"/>
        </w:rPr>
        <w:t>并做好迎检准</w:t>
      </w:r>
      <w:bookmarkStart w:id="6" w:name="_Toc351203486"/>
      <w:r>
        <w:rPr>
          <w:rFonts w:hint="eastAsia" w:ascii="宋体" w:hAnsi="宋体" w:eastAsia="宋体" w:cs="宋体"/>
          <w:bCs/>
          <w:color w:val="000000"/>
          <w:sz w:val="24"/>
          <w:szCs w:val="24"/>
          <w:highlight w:val="none"/>
          <w:lang w:val="en-US" w:eastAsia="zh-CN"/>
        </w:rPr>
        <w:t>。</w:t>
      </w:r>
    </w:p>
    <w:p w14:paraId="67462F39">
      <w:pPr>
        <w:keepNext w:val="0"/>
        <w:keepLines w:val="0"/>
        <w:pageBreakBefore w:val="0"/>
        <w:widowControl/>
        <w:suppressLineNumbers w:val="0"/>
        <w:wordWrap/>
        <w:overflowPunct/>
        <w:topLinePunct w:val="0"/>
        <w:bidi w:val="0"/>
        <w:spacing w:line="440" w:lineRule="exact"/>
        <w:ind w:firstLine="480" w:firstLineChars="200"/>
        <w:jc w:val="both"/>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如因承包人自身原因造成工期严重滞后，又无明显改进措施的，发包人有权要求承包人无条件退场，并承担由此产生的一切损失，同时，发包人也有权安排其他施工队伍进场施工，费用经审计机构审核后从承包人合同价款中扣除。承包人拒不退场，也不配合第三方施工队伍进场的，必须承担一切赔偿责任；承包人必须严格按照施工图及工程施工验收规范等精心组织施工，严格把好每道工序的质量关，确保工程质量达到合格等级。经验收，如有不合格工程，承包人应无条件返工、整改、采取相应的补救、修复措施，直至验收合格， 由此追加的费用和延误的工期均由承包人负责，同时扣除其全额质量履约担保，并处以工程结算总造价的5%的违约金。</w:t>
      </w:r>
    </w:p>
    <w:p w14:paraId="19F68127">
      <w:pPr>
        <w:keepNext w:val="0"/>
        <w:keepLines w:val="0"/>
        <w:pageBreakBefore w:val="0"/>
        <w:widowControl/>
        <w:suppressLineNumbers w:val="0"/>
        <w:wordWrap/>
        <w:overflowPunct/>
        <w:topLinePunct w:val="0"/>
        <w:bidi w:val="0"/>
        <w:spacing w:line="440" w:lineRule="exact"/>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u w:val="single"/>
          <w:lang w:val="en-US" w:eastAsia="zh-CN" w:bidi="ar"/>
        </w:rPr>
        <w:t>承包人违反合同约定进行转包或违法分包的，一经发现，承包人应支付签约合同价2%的违约金，且发包人有权单方面终止合同， 由此所产生的一切后果及经济损失均由承包人承担。</w:t>
      </w:r>
    </w:p>
    <w:p w14:paraId="5C31E355">
      <w:pPr>
        <w:keepNext w:val="0"/>
        <w:keepLines w:val="0"/>
        <w:pageBreakBefore w:val="0"/>
        <w:widowControl/>
        <w:suppressLineNumbers w:val="0"/>
        <w:wordWrap/>
        <w:overflowPunct/>
        <w:topLinePunct w:val="0"/>
        <w:bidi w:val="0"/>
        <w:spacing w:line="440" w:lineRule="exact"/>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10.项目经理在施工现场的时间要求：项目经理到位率达到 80%（不少于每月24天）以上，技术负责人（不少于24天）、安全专职人员及其他人员到岗率100%。发包人制作签到表，对上述人员到岗情况每月进行考核（双休日、法定节假日计入考核范围）。如实际到位天数不满足合同约定要求，承包人按项目经理1000元/天、其余人员500元/天的标准向发包人支付违约金，违约金由发包人在进度款中扣除，最高直至扣除全部项目管理人员履约保证金。 </w:t>
      </w:r>
    </w:p>
    <w:p w14:paraId="5D5F511B">
      <w:pPr>
        <w:keepNext w:val="0"/>
        <w:keepLines w:val="0"/>
        <w:pageBreakBefore w:val="0"/>
        <w:widowControl/>
        <w:suppressLineNumbers w:val="0"/>
        <w:wordWrap/>
        <w:overflowPunct/>
        <w:topLinePunct w:val="0"/>
        <w:bidi w:val="0"/>
        <w:spacing w:line="440" w:lineRule="exact"/>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项目经理未经批准，擅自离开施工现场的违约责任：监理例会或重要施工工序或环节时项目经理必须到场，因故不能参加，应提前 24 小时以书面形式向发包人请假并在获得批准后方可缺席，否则承包人向发包人支付违约金1000元/次，同时承担由此造成的损失。</w:t>
      </w:r>
    </w:p>
    <w:p w14:paraId="79AF36BD">
      <w:pPr>
        <w:keepNext w:val="0"/>
        <w:keepLines w:val="0"/>
        <w:pageBreakBefore w:val="0"/>
        <w:widowControl/>
        <w:suppressLineNumbers w:val="0"/>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11.隐蔽工程检查 </w:t>
      </w:r>
    </w:p>
    <w:p w14:paraId="64CA5E35">
      <w:pPr>
        <w:keepNext w:val="0"/>
        <w:keepLines w:val="0"/>
        <w:pageBreakBefore w:val="0"/>
        <w:widowControl/>
        <w:suppressLineNumbers w:val="0"/>
        <w:wordWrap/>
        <w:overflowPunct/>
        <w:topLinePunct w:val="0"/>
        <w:bidi w:val="0"/>
        <w:spacing w:line="440" w:lineRule="exact"/>
        <w:ind w:left="0" w:leftChars="0"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承包人提前通知监理人或发包人隐蔽工程检查的期限的约定：承包人应在共同检查前48小时书面通知监理人或发包人检查，通知中应载明隐蔽检查的内容、时间和地点，并应附有自检记录和必要的检查资料。隐蔽工程必须做好影像资料收集、整理，且经监理或发包人验收合格并签字后方可进行下道工序施工（质检员应全程陪同监理等人员进行各种隐蔽验收工作）。验收不合格的，承包人应在限定期限内整改后重新组织验收，并承担由此发生的费用，且工期不予顺延。重要工程的隐蔽验收应通知质监站及设计单位共同参加验收。若隐蔽工程和中间验收部位存在质量问题，承包人未按要求进行及时整改，发包人有权不予支付当期进度款。双方约定中间验收部位按杭州市上城区建设工程质量安全监督站有关要求执行。未经监理人或发包人验收或验收不合格而擅自进入下道工序施工，发包人及监理单位有权要求停工整顿并拆除返工，同时对承包人处以贰万元/次的罚款，由此造成的损失由承包人承担，工期不予顺延。如果发现承包人在验收合格后到隐蔽施工前，对合格部分做任何改动，应重新进行验收。监理人或发包人不能按时进行检查时，应提前24小时提交书面延期要求。</w:t>
      </w:r>
    </w:p>
    <w:p w14:paraId="51E59F14">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12.安全文明施工 </w:t>
      </w:r>
    </w:p>
    <w:p w14:paraId="5143E9EF">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项目安全生产的达标目标及相应事项的约定：</w:t>
      </w:r>
      <w:r>
        <w:rPr>
          <w:rFonts w:hint="eastAsia" w:ascii="宋体" w:hAnsi="宋体" w:eastAsia="宋体" w:cs="宋体"/>
          <w:b/>
          <w:bCs/>
          <w:color w:val="auto"/>
          <w:kern w:val="0"/>
          <w:sz w:val="24"/>
          <w:szCs w:val="24"/>
          <w:highlight w:val="none"/>
          <w:lang w:val="en-US" w:eastAsia="zh-CN" w:bidi="ar"/>
        </w:rPr>
        <w:t>施工现场按照《建筑施工安全检查标准》（JGJ59-2011）评定达到“合格”标准。</w:t>
      </w:r>
    </w:p>
    <w:p w14:paraId="741009E0">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合同当事人对文明施工的要求： </w:t>
      </w:r>
    </w:p>
    <w:p w14:paraId="507C2A57">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（1）遵守地方政府和有关部门对施工场地交通、环卫、安全和施工噪音等管理规定，并办理相关审批手续。 </w:t>
      </w:r>
    </w:p>
    <w:p w14:paraId="4352F185">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（2）承包人应采取有效措施尽量减少尘土和噪声污染，需要进行夜间作业时应经有关部门批准。 </w:t>
      </w:r>
    </w:p>
    <w:p w14:paraId="6836E55D">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（3）其他：</w:t>
      </w:r>
    </w:p>
    <w:p w14:paraId="26908DB7">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①文明施工按相关政策执行，同时符合工程建设安全文明施工的有关规定及指挥部相关管理办法要求，认真落实各项安全保护措施及安全生产责任制，并随时接受发包人、监理工程师、相关行政主管部门及监督机构的监督管理。发包人在进行巡查时发现工程质量或环境保护、文明施工、安全施工达不到要求，第一次发现给予承包人警告并责令整改；经复查发现未整改的给予承包人五万元人民币的罚款，且承包人应立即整改；屡教不改的，发包人有权扣除承包人全部的安全文明施工履约保证金，并扣除相应的措施费，同时由发包人向建设主管部门报备；由于承包人原因被上级部门通报、批评、列入黑榜等或被新闻媒体作为负面 清单曝光的，由发包人按次给予承包人二十万元人民币的罚款。罚款、履约保证金及措施费在当月工程款中扣除。 </w:t>
      </w:r>
    </w:p>
    <w:p w14:paraId="25644ED3">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②承包人应对进入施工现场的施工人员进行安全文明施工教育，持证上岗，配备必要的劳动保护用具，保证工程的施工安全和人身安全。 </w:t>
      </w:r>
    </w:p>
    <w:p w14:paraId="7BA499FD">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③严格遵守和执行杭建文领（2010）1 号文“关于继续深入开展市区建筑工地文明施工和扬尘污染综合整治工作的通知”及杭大气办〔2019〕8 号、杭大气办〔2018〕7 号等相关文件，充分考虑扬尘污染治理和文明施工的费用，如施工车辆出入口设置专用清洗设备、安排专人进行保洁冲洗；设置文明施工的五图一牌及扬尘防治措施牌；根据杭州市建委要求做好施工围挡并保持清洁；做好现场土方堆放及渣土运输过程的覆盖工作，坚决制止土方在运输中“抛、洒、滴、露”现象；各施工区域的项目生活区应与施工区明显分隔，“五小设施”管理有序，搭设符合规定，食堂卫生整洁、证照齐全，浴室、厕所专人清扫；需针对扬尘污染治理和文明施工综合整治做好台账，确保文明施工管理资料完整，记录齐全等有关文明施工和扬尘治理的事项，且专款专用，如未报足，视为优惠。 </w:t>
      </w:r>
    </w:p>
    <w:p w14:paraId="129DB71E">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④工程车运输土方须办理渣土准运证，若不办理，每发现一次处罚 2 万元，并需立即整改到位。 </w:t>
      </w:r>
    </w:p>
    <w:p w14:paraId="5CC637C4">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⑤承包人对施工场地周边一定范围环境负有责任，故施工中不得随意排放混浊废弃物，不得随意抛掷各类垃圾、建筑材料等杂物；运输建筑材料、垃圾和工程渣土的车辆应采取有效措施保证行驶途中不污染道路和环境等。 </w:t>
      </w:r>
    </w:p>
    <w:p w14:paraId="6C75BAC0">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⑥承包人应充分响应杭州市委、市政府关于工程运输车辆安全整治有关问题的相关意见，落实好工程安全生产责任制。 </w:t>
      </w:r>
    </w:p>
    <w:p w14:paraId="2554E787">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⑦承包人严格做到“七必须七不许”。七必须：施工作业必须设置标准围护；施工便道必须硬化；施工用的各种机械必须及时冲洗；施工场地必须及时洒水作业以防扬尘；必须配备专职的保洁人员；必须定时清扫施工场地（包括围护）；施工车辆装载物品进出时车厢必须有遮盖物。七不许：施工车辆不许带泥出门；施工车辆不许超载；不许使用无证车辆，不许聘用无证人员；施工现场不许积水；不许现场焚烧垃圾；不许高空抛垃圾；不许现场拌制混凝土。承包人外聘的运输垃圾、渣土或土方单位，必须具备从业资质。承包人应向发包人呈报各外聘运输单位的运输资格证书原件、参与本工程的所有运输车辆车牌行驶证件原件及驾驶人员驾照原件，经核对后复印留底上交发包人，发包人将按此资料核对参与工程的所有垃圾或渣土运输车辆车牌及人员。承包人在渣土、土方或垃圾运输中，需遵守有关部门关于垃圾、渣土或土方运输的有关规定，所有施工车辆必须按发包人指定的行车路线进出施工场地，承包人必须随时对施工车辆散落在公共道路上的杂物进行清扫，保持道路整洁，避免扬尘，如因违规受到各级管理部门的经济或行政处罚，承包人自行承担处罚后果。 </w:t>
      </w:r>
    </w:p>
    <w:p w14:paraId="79CA3086">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⑧若临设场地有变化，承包人按照发包人要求无条件对硬化场地、场内道路、临时设施进行破除并清理完毕。 上述手续办理费用约定如下： 由承包人承担。承包人负责保护周围地下管线、邻近建筑物、构筑物（含文物保护建筑）、古树名木、道路，施工过程中，承包人如发现施工场地周围地下管线与发包人提交的管线资料不一致的，应立即停止施工并向发包人及相关单位书面报告，待确认安全后方可施工。因工程施工而给施工场地周边的管线、建筑物、构筑物（含文物保护建筑）、古树名木、道路造成损坏的，由承包人赔偿损失。特殊情况，由双方另行协商。</w:t>
      </w:r>
    </w:p>
    <w:p w14:paraId="0D11E1E2">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13.工程保险 </w:t>
      </w:r>
    </w:p>
    <w:p w14:paraId="5DF11804">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关于工程保险的特别约定：承包人为建设工程和施工场地内的自有人员设备及第三方生命财产办理保险并支付保险费用，费用已包含在总价内。施工期间所发生的与本工程有关的承包人的人员、财产等意外伤害、损失，由承包人承担全部责任和费用。 </w:t>
      </w:r>
    </w:p>
    <w:p w14:paraId="02C1EF94">
      <w:pPr>
        <w:keepNext w:val="0"/>
        <w:keepLines w:val="0"/>
        <w:pageBreakBefore w:val="0"/>
        <w:widowControl/>
        <w:suppressLineNumbers w:val="0"/>
        <w:kinsoku w:val="0"/>
        <w:wordWrap/>
        <w:overflowPunct/>
        <w:topLinePunct w:val="0"/>
        <w:autoSpaceDE w:val="0"/>
        <w:autoSpaceDN w:val="0"/>
        <w:bidi w:val="0"/>
        <w:adjustRightInd w:val="0"/>
        <w:spacing w:line="440" w:lineRule="exact"/>
        <w:ind w:left="0" w:leftChars="0"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十二、其他补充事项的约定 </w:t>
      </w:r>
    </w:p>
    <w:p w14:paraId="06821203">
      <w:pPr>
        <w:keepNext w:val="0"/>
        <w:keepLines w:val="0"/>
        <w:pageBreakBefore w:val="0"/>
        <w:widowControl/>
        <w:suppressLineNumbers w:val="0"/>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1.发包人于开工前提供水、电接口，由承包人自行接至场内。电讯由承包人自行解决。施工期间因承包人管理不善造成水、电总计量表损坏，由承包人无条件承担所有费用及责任。 </w:t>
      </w:r>
    </w:p>
    <w:p w14:paraId="3E53EBF7">
      <w:pPr>
        <w:keepNext w:val="0"/>
        <w:keepLines w:val="0"/>
        <w:pageBreakBefore w:val="0"/>
        <w:widowControl/>
        <w:suppressLineNumbers w:val="0"/>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2.承包人应自备发电机，购置费用已在投标报价中包干，因电力不足或停电，给工程造成的一切损失（包括工期逾期责任）由承包人承担。 </w:t>
      </w:r>
    </w:p>
    <w:p w14:paraId="78DE0920">
      <w:pPr>
        <w:keepNext w:val="0"/>
        <w:keepLines w:val="0"/>
        <w:pageBreakBefore w:val="0"/>
        <w:widowControl/>
        <w:suppressLineNumbers w:val="0"/>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承包人在工程实施期间应对发包人提供的各项水电设施以及沿街户外广告，对周边已建成的构筑物进行必要的保护，相关费用已在投标报价中综合考虑。若由于承包人未能妥善保护给发包人及周边构筑物造成的损失由承包人承担。</w:t>
      </w:r>
    </w:p>
    <w:p w14:paraId="63807220">
      <w:pPr>
        <w:keepNext w:val="0"/>
        <w:keepLines w:val="0"/>
        <w:pageBreakBefore w:val="0"/>
        <w:widowControl/>
        <w:suppressLineNumbers w:val="0"/>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4.承包人应确保民工工资的及时支付，如不及时支付，视作违约，承包人应按合同价款的 2%向发包人支付违约金且由此造成的后果与损失应由承包人承担，同时发包人有权在工程款中扣除相应费用代为支付民工工资。 </w:t>
      </w:r>
    </w:p>
    <w:p w14:paraId="1217B093">
      <w:pPr>
        <w:keepNext w:val="0"/>
        <w:keepLines w:val="0"/>
        <w:pageBreakBefore w:val="0"/>
        <w:widowControl/>
        <w:suppressLineNumbers w:val="0"/>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施工过程中若发生工伤或工亡事故，承包人必须在事发后立即启动应急预案，并按事故等级及时通报上级，并做好事故处理和善后等各类事宜，涉及赔偿费用均由承包人承担，否则发包人有权直接处理，相关费用在履约保证金或工程款中直接扣除。若发包人因此而造成行政处罚，罚款金额由承包人额外承担。</w:t>
      </w:r>
    </w:p>
    <w:p w14:paraId="4147CB83">
      <w:pPr>
        <w:keepNext w:val="0"/>
        <w:keepLines w:val="0"/>
        <w:pageBreakBefore w:val="0"/>
        <w:widowControl/>
        <w:suppressLineNumbers w:val="0"/>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材料设备采购应根据招标文件、设计技术文件和国家有关规定的具体要求进行采购，所有材料应选用具有一定生产规模和市场信誉好的生产厂和品牌，生产厂和品牌需经发包人或发包人委托的监理单位确认后方可采购（需无条件提供实体样板进行选样，费用在投标报价中综合考虑），否则，因此引起的一切 后果都由承包人自行承担；所有材料均应有合格证和质保书、符合国家规定的技术标准和本工程质量要求，并且须经发包人或发包人委托的监理单位或具有相应资质的检测机构检测合格后才能使用，但该检测仅为初步质量检验，并不免除承包人的产品质量保证责任；当承包人选定的材料质量达不到预期质量目标要求时，发包人有权要求承包人立即进行更换，更换的费用由承包人承担；若使用不合格材料或不符合本工程质量要求的材料施工，一经发现，发包人或监理有权制止使用并要求承包人无偿负责更换，甚至停工、返工或解除合同，并要求承包人赔偿损失。承包人提供的所有产品部件必须与投标文件一致，如发现存在造假行为，除应按发包人、监理人或发包人要求的时间运出施工场地，重新采购符合要求的产品，承担由此发生的费用，延误的工期不予顺延。 无论发包人或发包人委托的监理单位是否发现和制止，由于使用不合格材料或不符合工程质量目标要求的材料施工后所引起的一切责任均由承包人自负。</w:t>
      </w:r>
    </w:p>
    <w:p w14:paraId="3AA41746">
      <w:pPr>
        <w:keepNext w:val="0"/>
        <w:keepLines w:val="0"/>
        <w:pageBreakBefore w:val="0"/>
        <w:widowControl/>
        <w:suppressLineNumbers w:val="0"/>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在工程通过验收前（包括因国际化和大型公共活动、政府重要活动或检查，如亚运会、中高考、行业检查等所要求的停工及等候时间），对已完成工程（含发包人专业分包且已移交给承包人的工程）成品的保护工作由承包人负责，费用在投标报价中包干。</w:t>
      </w:r>
    </w:p>
    <w:p w14:paraId="7228B725">
      <w:pPr>
        <w:keepNext w:val="0"/>
        <w:keepLines w:val="0"/>
        <w:pageBreakBefore w:val="0"/>
        <w:widowControl/>
        <w:suppressLineNumbers w:val="0"/>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8.本项目为非基本建设流程，承包人需充分考虑现场实施难度，与属地相关行政许可部门及相关行政许可报批进行妥善处理（例如渣土，建筑垃圾清运，材料运输）确保项目顺利推进。</w:t>
      </w:r>
    </w:p>
    <w:p w14:paraId="60B421E6">
      <w:pPr>
        <w:pStyle w:val="5"/>
        <w:pageBreakBefore w:val="0"/>
        <w:widowControl/>
        <w:kinsoku w:val="0"/>
        <w:wordWrap/>
        <w:overflowPunct/>
        <w:topLinePunct w:val="0"/>
        <w:autoSpaceDE w:val="0"/>
        <w:autoSpaceDN w:val="0"/>
        <w:bidi w:val="0"/>
        <w:adjustRightInd w:val="0"/>
        <w:spacing w:line="440" w:lineRule="exact"/>
        <w:ind w:left="0" w:leftChars="0" w:firstLine="474" w:firstLineChars="200"/>
        <w:jc w:val="both"/>
        <w:textAlignment w:val="baseline"/>
        <w:rPr>
          <w:rFonts w:ascii="宋体" w:hAnsi="宋体" w:eastAsia="宋体" w:cs="宋体"/>
          <w:b/>
          <w:bCs/>
          <w:spacing w:val="-2"/>
          <w:sz w:val="24"/>
          <w:szCs w:val="24"/>
          <w:highlight w:val="none"/>
          <w:u w:val="single" w:color="auto"/>
        </w:rPr>
      </w:pPr>
      <w:r>
        <w:rPr>
          <w:rFonts w:hint="eastAsia" w:ascii="宋体" w:hAnsi="宋体" w:cs="宋体"/>
          <w:b/>
          <w:bCs/>
          <w:spacing w:val="-2"/>
          <w:sz w:val="24"/>
          <w:szCs w:val="24"/>
          <w:highlight w:val="none"/>
          <w:u w:val="single" w:color="auto"/>
          <w:lang w:val="en-US" w:eastAsia="zh-CN"/>
        </w:rPr>
        <w:t>9.</w:t>
      </w:r>
      <w:r>
        <w:rPr>
          <w:rFonts w:ascii="宋体" w:hAnsi="宋体" w:eastAsia="宋体" w:cs="宋体"/>
          <w:b/>
          <w:bCs/>
          <w:spacing w:val="-2"/>
          <w:sz w:val="24"/>
          <w:szCs w:val="24"/>
          <w:highlight w:val="none"/>
          <w:u w:val="single" w:color="auto"/>
        </w:rPr>
        <w:t>本合同所涉及的违约金等需在当期工程费支付前由承包人缴纳。</w:t>
      </w:r>
    </w:p>
    <w:p w14:paraId="1435BDF8">
      <w:pPr>
        <w:ind w:firstLine="420"/>
        <w:rPr>
          <w:rFonts w:hint="default" w:eastAsia="宋体"/>
          <w:lang w:val="en-US" w:eastAsia="zh-CN"/>
        </w:rPr>
      </w:pPr>
      <w:r>
        <w:rPr>
          <w:rFonts w:hint="eastAsia" w:ascii="宋体" w:hAnsi="宋体" w:eastAsia="宋体" w:cs="宋体"/>
          <w:b w:val="0"/>
          <w:bCs w:val="0"/>
          <w:spacing w:val="-2"/>
          <w:sz w:val="24"/>
          <w:szCs w:val="24"/>
          <w:highlight w:val="none"/>
          <w:u w:val="single" w:color="auto"/>
          <w:lang w:val="en-US" w:eastAsia="zh-CN"/>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97035A">
      <w:pPr>
        <w:pStyle w:val="5"/>
        <w:pageBreakBefore w:val="0"/>
        <w:widowControl/>
        <w:kinsoku w:val="0"/>
        <w:wordWrap/>
        <w:overflowPunct/>
        <w:topLinePunct w:val="0"/>
        <w:autoSpaceDE w:val="0"/>
        <w:autoSpaceDN w:val="0"/>
        <w:bidi w:val="0"/>
        <w:adjustRightInd w:val="0"/>
        <w:spacing w:line="440" w:lineRule="exact"/>
        <w:ind w:left="0" w:leftChars="0" w:firstLine="482" w:firstLineChars="200"/>
        <w:jc w:val="both"/>
        <w:textAlignment w:val="baseline"/>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十</w:t>
      </w:r>
      <w:r>
        <w:rPr>
          <w:rFonts w:hint="eastAsia" w:ascii="宋体" w:hAnsi="宋体" w:cs="宋体"/>
          <w:b/>
          <w:bCs w:val="0"/>
          <w:color w:val="000000"/>
          <w:sz w:val="24"/>
          <w:szCs w:val="24"/>
          <w:highlight w:val="none"/>
          <w:lang w:val="en-US" w:eastAsia="zh-CN"/>
        </w:rPr>
        <w:t>三</w:t>
      </w:r>
      <w:r>
        <w:rPr>
          <w:rFonts w:hint="eastAsia" w:ascii="宋体" w:hAnsi="宋体" w:eastAsia="宋体" w:cs="宋体"/>
          <w:b/>
          <w:bCs w:val="0"/>
          <w:color w:val="000000"/>
          <w:sz w:val="24"/>
          <w:szCs w:val="24"/>
          <w:highlight w:val="none"/>
        </w:rPr>
        <w:t>、合同文件构成</w:t>
      </w:r>
      <w:bookmarkEnd w:id="6"/>
    </w:p>
    <w:p w14:paraId="6BC48521">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本协议书与下列文件一起构成合同文件：</w:t>
      </w:r>
    </w:p>
    <w:p w14:paraId="5868B562">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（1）中标通知书（若有）；</w:t>
      </w:r>
    </w:p>
    <w:p w14:paraId="156BF8E7">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（2）投标函及其附录（若有）； </w:t>
      </w:r>
    </w:p>
    <w:p w14:paraId="23DFC30E">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（3）技术标准和要求（若有）；</w:t>
      </w:r>
    </w:p>
    <w:p w14:paraId="63A0633B">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（4）图纸</w:t>
      </w:r>
      <w:r>
        <w:rPr>
          <w:rFonts w:hint="eastAsia" w:ascii="宋体" w:hAnsi="宋体" w:eastAsia="宋体" w:cs="宋体"/>
          <w:color w:val="000000"/>
          <w:sz w:val="24"/>
          <w:szCs w:val="24"/>
          <w:highlight w:val="none"/>
        </w:rPr>
        <w:t>（若有）</w:t>
      </w:r>
      <w:r>
        <w:rPr>
          <w:rFonts w:hint="eastAsia" w:ascii="宋体" w:hAnsi="宋体" w:eastAsia="宋体" w:cs="宋体"/>
          <w:sz w:val="24"/>
          <w:szCs w:val="24"/>
          <w:highlight w:val="none"/>
        </w:rPr>
        <w:t>；</w:t>
      </w:r>
    </w:p>
    <w:p w14:paraId="7E82CD27">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（5）已标价工程</w:t>
      </w:r>
      <w:r>
        <w:rPr>
          <w:rFonts w:hint="eastAsia" w:ascii="宋体" w:hAnsi="宋体" w:eastAsia="宋体" w:cs="宋体"/>
          <w:color w:val="000000"/>
          <w:sz w:val="24"/>
          <w:szCs w:val="24"/>
          <w:highlight w:val="none"/>
        </w:rPr>
        <w:t>量清单或预算书（若有）；</w:t>
      </w:r>
    </w:p>
    <w:p w14:paraId="1B5D9350">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（6）其他合同文件：</w:t>
      </w:r>
      <w:r>
        <w:rPr>
          <w:rFonts w:hint="eastAsia" w:ascii="宋体" w:hAnsi="宋体" w:eastAsia="宋体" w:cs="宋体"/>
          <w:color w:val="000000"/>
          <w:sz w:val="24"/>
          <w:szCs w:val="24"/>
          <w:highlight w:val="none"/>
          <w:u w:val="single"/>
        </w:rPr>
        <w:t xml:space="preserve"> 安全文明施工责任合同  </w:t>
      </w:r>
      <w:r>
        <w:rPr>
          <w:rFonts w:hint="eastAsia" w:ascii="宋体" w:hAnsi="宋体" w:eastAsia="宋体" w:cs="宋体"/>
          <w:color w:val="000000"/>
          <w:sz w:val="24"/>
          <w:szCs w:val="24"/>
          <w:highlight w:val="none"/>
        </w:rPr>
        <w:t>。</w:t>
      </w:r>
    </w:p>
    <w:p w14:paraId="7ADA4482">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在合同订立及履行过程中形成的与合同有关的文件均构成合同文件组成部分。</w:t>
      </w:r>
    </w:p>
    <w:p w14:paraId="02D98509">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bCs/>
          <w:strike/>
          <w:color w:val="000000"/>
          <w:sz w:val="24"/>
          <w:szCs w:val="24"/>
          <w:highlight w:val="none"/>
        </w:rPr>
      </w:pPr>
      <w:r>
        <w:rPr>
          <w:rFonts w:hint="eastAsia" w:ascii="宋体" w:hAnsi="宋体" w:eastAsia="宋体" w:cs="宋体"/>
          <w:color w:val="000000"/>
          <w:sz w:val="24"/>
          <w:szCs w:val="24"/>
          <w:highlight w:val="none"/>
        </w:rPr>
        <w:t>上述各项合同文件包括合同当事人就该项合同文件所作出的补充和修改，属于同一类内容的文件，应以最新签署的为准。</w:t>
      </w:r>
    </w:p>
    <w:p w14:paraId="5F125B21">
      <w:pPr>
        <w:pStyle w:val="5"/>
        <w:pageBreakBefore w:val="0"/>
        <w:widowControl/>
        <w:kinsoku w:val="0"/>
        <w:wordWrap/>
        <w:overflowPunct/>
        <w:topLinePunct w:val="0"/>
        <w:autoSpaceDE w:val="0"/>
        <w:autoSpaceDN w:val="0"/>
        <w:bidi w:val="0"/>
        <w:adjustRightInd w:val="0"/>
        <w:spacing w:line="440" w:lineRule="exact"/>
        <w:ind w:left="0" w:leftChars="0" w:firstLine="482" w:firstLineChars="200"/>
        <w:jc w:val="both"/>
        <w:textAlignment w:val="baseline"/>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十</w:t>
      </w:r>
      <w:r>
        <w:rPr>
          <w:rFonts w:hint="eastAsia" w:ascii="宋体" w:hAnsi="宋体" w:cs="宋体"/>
          <w:b/>
          <w:bCs w:val="0"/>
          <w:color w:val="000000"/>
          <w:sz w:val="24"/>
          <w:szCs w:val="24"/>
          <w:highlight w:val="none"/>
          <w:lang w:val="en-US" w:eastAsia="zh-CN"/>
        </w:rPr>
        <w:t>四</w:t>
      </w:r>
      <w:r>
        <w:rPr>
          <w:rFonts w:hint="eastAsia" w:ascii="宋体" w:hAnsi="宋体" w:eastAsia="宋体" w:cs="宋体"/>
          <w:b/>
          <w:bCs w:val="0"/>
          <w:color w:val="000000"/>
          <w:sz w:val="24"/>
          <w:szCs w:val="24"/>
          <w:highlight w:val="none"/>
        </w:rPr>
        <w:t>、未尽事宜处理</w:t>
      </w:r>
    </w:p>
    <w:p w14:paraId="6E2291F1">
      <w:pPr>
        <w:pageBreakBefore w:val="0"/>
        <w:widowControl/>
        <w:wordWrap/>
        <w:overflowPunct/>
        <w:topLinePunct w:val="0"/>
        <w:bidi w:val="0"/>
        <w:spacing w:line="440" w:lineRule="exact"/>
        <w:ind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本合同未尽事宜，由双方共同协商解决。协商不成的，提交工程所在地人民法院诉讼解决。</w:t>
      </w:r>
    </w:p>
    <w:bookmarkEnd w:id="5"/>
    <w:p w14:paraId="7E30A22E">
      <w:pPr>
        <w:pStyle w:val="5"/>
        <w:pageBreakBefore w:val="0"/>
        <w:widowControl/>
        <w:kinsoku w:val="0"/>
        <w:wordWrap/>
        <w:overflowPunct/>
        <w:topLinePunct w:val="0"/>
        <w:autoSpaceDE w:val="0"/>
        <w:autoSpaceDN w:val="0"/>
        <w:bidi w:val="0"/>
        <w:adjustRightInd w:val="0"/>
        <w:spacing w:line="440" w:lineRule="exact"/>
        <w:ind w:left="0" w:leftChars="0" w:firstLine="482" w:firstLineChars="200"/>
        <w:jc w:val="both"/>
        <w:textAlignment w:val="baseline"/>
        <w:rPr>
          <w:rFonts w:hint="eastAsia" w:ascii="宋体" w:hAnsi="宋体" w:eastAsia="宋体" w:cs="宋体"/>
          <w:b/>
          <w:bCs w:val="0"/>
          <w:color w:val="000000"/>
          <w:sz w:val="24"/>
          <w:szCs w:val="24"/>
          <w:highlight w:val="none"/>
        </w:rPr>
      </w:pPr>
      <w:bookmarkStart w:id="7" w:name="_Toc351203492"/>
      <w:r>
        <w:rPr>
          <w:rFonts w:hint="eastAsia" w:ascii="宋体" w:hAnsi="宋体" w:eastAsia="宋体" w:cs="宋体"/>
          <w:b/>
          <w:bCs w:val="0"/>
          <w:color w:val="000000"/>
          <w:sz w:val="24"/>
          <w:szCs w:val="24"/>
          <w:highlight w:val="none"/>
        </w:rPr>
        <w:t>十</w:t>
      </w:r>
      <w:r>
        <w:rPr>
          <w:rFonts w:hint="eastAsia" w:ascii="宋体" w:hAnsi="宋体" w:cs="宋体"/>
          <w:b/>
          <w:bCs w:val="0"/>
          <w:color w:val="000000"/>
          <w:sz w:val="24"/>
          <w:szCs w:val="24"/>
          <w:highlight w:val="none"/>
          <w:lang w:val="en-US" w:eastAsia="zh-CN"/>
        </w:rPr>
        <w:t>五</w:t>
      </w:r>
      <w:r>
        <w:rPr>
          <w:rFonts w:hint="eastAsia" w:ascii="宋体" w:hAnsi="宋体" w:eastAsia="宋体" w:cs="宋体"/>
          <w:b/>
          <w:bCs w:val="0"/>
          <w:color w:val="000000"/>
          <w:sz w:val="24"/>
          <w:szCs w:val="24"/>
          <w:highlight w:val="none"/>
        </w:rPr>
        <w:t>、合同生效</w:t>
      </w:r>
      <w:bookmarkEnd w:id="7"/>
    </w:p>
    <w:p w14:paraId="045E93C1">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本合同自</w:t>
      </w:r>
      <w:r>
        <w:rPr>
          <w:rFonts w:hint="eastAsia" w:ascii="宋体" w:hAnsi="宋体" w:eastAsia="宋体" w:cs="宋体"/>
          <w:bCs/>
          <w:color w:val="000000"/>
          <w:sz w:val="24"/>
          <w:szCs w:val="24"/>
          <w:highlight w:val="none"/>
          <w:u w:val="single"/>
        </w:rPr>
        <w:t xml:space="preserve">  双方签字盖章后  </w:t>
      </w:r>
      <w:r>
        <w:rPr>
          <w:rFonts w:hint="eastAsia" w:ascii="宋体" w:hAnsi="宋体" w:eastAsia="宋体" w:cs="宋体"/>
          <w:bCs/>
          <w:color w:val="000000"/>
          <w:sz w:val="24"/>
          <w:szCs w:val="24"/>
          <w:highlight w:val="none"/>
        </w:rPr>
        <w:t>生效。</w:t>
      </w:r>
    </w:p>
    <w:p w14:paraId="3B3D88B5">
      <w:pPr>
        <w:pStyle w:val="5"/>
        <w:pageBreakBefore w:val="0"/>
        <w:widowControl/>
        <w:kinsoku w:val="0"/>
        <w:wordWrap/>
        <w:overflowPunct/>
        <w:topLinePunct w:val="0"/>
        <w:autoSpaceDE w:val="0"/>
        <w:autoSpaceDN w:val="0"/>
        <w:bidi w:val="0"/>
        <w:adjustRightInd w:val="0"/>
        <w:spacing w:line="440" w:lineRule="exact"/>
        <w:ind w:left="0" w:leftChars="0" w:firstLine="482" w:firstLineChars="200"/>
        <w:jc w:val="both"/>
        <w:textAlignment w:val="baseline"/>
        <w:rPr>
          <w:rFonts w:hint="eastAsia" w:ascii="宋体" w:hAnsi="宋体" w:eastAsia="宋体" w:cs="宋体"/>
          <w:b/>
          <w:bCs w:val="0"/>
          <w:color w:val="000000"/>
          <w:sz w:val="24"/>
          <w:szCs w:val="24"/>
          <w:highlight w:val="none"/>
        </w:rPr>
      </w:pPr>
      <w:bookmarkStart w:id="8" w:name="_Toc351203493"/>
      <w:r>
        <w:rPr>
          <w:rFonts w:hint="eastAsia" w:ascii="宋体" w:hAnsi="宋体" w:eastAsia="宋体" w:cs="宋体"/>
          <w:b/>
          <w:bCs w:val="0"/>
          <w:color w:val="000000"/>
          <w:sz w:val="24"/>
          <w:szCs w:val="24"/>
          <w:highlight w:val="none"/>
        </w:rPr>
        <w:t>十</w:t>
      </w:r>
      <w:r>
        <w:rPr>
          <w:rFonts w:hint="eastAsia" w:ascii="宋体" w:hAnsi="宋体" w:cs="宋体"/>
          <w:b/>
          <w:bCs w:val="0"/>
          <w:color w:val="000000"/>
          <w:sz w:val="24"/>
          <w:szCs w:val="24"/>
          <w:highlight w:val="none"/>
          <w:lang w:val="en-US" w:eastAsia="zh-CN"/>
        </w:rPr>
        <w:t>六</w:t>
      </w:r>
      <w:r>
        <w:rPr>
          <w:rFonts w:hint="eastAsia" w:ascii="宋体" w:hAnsi="宋体" w:eastAsia="宋体" w:cs="宋体"/>
          <w:b/>
          <w:bCs w:val="0"/>
          <w:color w:val="000000"/>
          <w:sz w:val="24"/>
          <w:szCs w:val="24"/>
          <w:highlight w:val="none"/>
        </w:rPr>
        <w:t>、合同份数</w:t>
      </w:r>
      <w:bookmarkEnd w:id="8"/>
    </w:p>
    <w:p w14:paraId="739ADED9">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本合同一式</w:t>
      </w:r>
      <w:r>
        <w:rPr>
          <w:rFonts w:hint="eastAsia" w:ascii="宋体" w:hAnsi="宋体" w:eastAsia="宋体" w:cs="宋体"/>
          <w:bCs/>
          <w:color w:val="000000"/>
          <w:sz w:val="24"/>
          <w:szCs w:val="24"/>
          <w:highlight w:val="none"/>
          <w:u w:val="single"/>
        </w:rPr>
        <w:t xml:space="preserve"> 捌 </w:t>
      </w:r>
      <w:r>
        <w:rPr>
          <w:rFonts w:hint="eastAsia" w:ascii="宋体" w:hAnsi="宋体" w:eastAsia="宋体" w:cs="宋体"/>
          <w:bCs/>
          <w:color w:val="000000"/>
          <w:sz w:val="24"/>
          <w:szCs w:val="24"/>
          <w:highlight w:val="none"/>
        </w:rPr>
        <w:t>份，均具有同等法律效力，</w:t>
      </w:r>
      <w:r>
        <w:rPr>
          <w:rFonts w:hint="eastAsia" w:ascii="宋体" w:hAnsi="宋体" w:eastAsia="宋体" w:cs="宋体"/>
          <w:bCs/>
          <w:color w:val="000000"/>
          <w:sz w:val="24"/>
          <w:szCs w:val="24"/>
          <w:highlight w:val="none"/>
          <w:lang w:eastAsia="zh-CN"/>
        </w:rPr>
        <w:t>发包人</w:t>
      </w:r>
      <w:r>
        <w:rPr>
          <w:rFonts w:hint="eastAsia" w:ascii="宋体" w:hAnsi="宋体" w:eastAsia="宋体" w:cs="宋体"/>
          <w:bCs/>
          <w:color w:val="000000"/>
          <w:sz w:val="24"/>
          <w:szCs w:val="24"/>
          <w:highlight w:val="none"/>
        </w:rPr>
        <w:t>执</w:t>
      </w:r>
      <w:r>
        <w:rPr>
          <w:rFonts w:hint="eastAsia" w:ascii="宋体" w:hAnsi="宋体" w:eastAsia="宋体" w:cs="宋体"/>
          <w:bCs/>
          <w:color w:val="000000"/>
          <w:sz w:val="24"/>
          <w:szCs w:val="24"/>
          <w:highlight w:val="none"/>
          <w:u w:val="single"/>
        </w:rPr>
        <w:t xml:space="preserve"> 伍 </w:t>
      </w:r>
      <w:r>
        <w:rPr>
          <w:rFonts w:hint="eastAsia" w:ascii="宋体" w:hAnsi="宋体" w:eastAsia="宋体" w:cs="宋体"/>
          <w:bCs/>
          <w:color w:val="000000"/>
          <w:sz w:val="24"/>
          <w:szCs w:val="24"/>
          <w:highlight w:val="none"/>
        </w:rPr>
        <w:t>份，</w:t>
      </w:r>
      <w:r>
        <w:rPr>
          <w:rFonts w:hint="eastAsia" w:ascii="宋体" w:hAnsi="宋体" w:eastAsia="宋体" w:cs="宋体"/>
          <w:bCs/>
          <w:color w:val="000000"/>
          <w:sz w:val="24"/>
          <w:szCs w:val="24"/>
          <w:highlight w:val="none"/>
          <w:lang w:eastAsia="zh-CN"/>
        </w:rPr>
        <w:t>承包人</w:t>
      </w:r>
      <w:r>
        <w:rPr>
          <w:rFonts w:hint="eastAsia" w:ascii="宋体" w:hAnsi="宋体" w:eastAsia="宋体" w:cs="宋体"/>
          <w:bCs/>
          <w:color w:val="000000"/>
          <w:sz w:val="24"/>
          <w:szCs w:val="24"/>
          <w:highlight w:val="none"/>
        </w:rPr>
        <w:t>执</w:t>
      </w:r>
      <w:r>
        <w:rPr>
          <w:rFonts w:hint="eastAsia" w:ascii="宋体" w:hAnsi="宋体" w:eastAsia="宋体" w:cs="宋体"/>
          <w:bCs/>
          <w:color w:val="000000"/>
          <w:sz w:val="24"/>
          <w:szCs w:val="24"/>
          <w:highlight w:val="none"/>
          <w:u w:val="single"/>
        </w:rPr>
        <w:t xml:space="preserve"> 叁 </w:t>
      </w:r>
      <w:r>
        <w:rPr>
          <w:rFonts w:hint="eastAsia" w:ascii="宋体" w:hAnsi="宋体" w:eastAsia="宋体" w:cs="宋体"/>
          <w:bCs/>
          <w:color w:val="000000"/>
          <w:sz w:val="24"/>
          <w:szCs w:val="24"/>
          <w:highlight w:val="none"/>
        </w:rPr>
        <w:t>份。</w:t>
      </w:r>
    </w:p>
    <w:p w14:paraId="3FD77410">
      <w:pPr>
        <w:pageBreakBefore w:val="0"/>
        <w:widowControl/>
        <w:wordWrap/>
        <w:overflowPunct/>
        <w:topLinePunct w:val="0"/>
        <w:bidi w:val="0"/>
        <w:spacing w:line="440" w:lineRule="exact"/>
        <w:ind w:left="0" w:leftChars="0"/>
        <w:jc w:val="both"/>
        <w:rPr>
          <w:rFonts w:hint="eastAsia" w:ascii="宋体" w:hAnsi="宋体" w:eastAsia="宋体" w:cs="宋体"/>
          <w:bCs/>
          <w:color w:val="000000"/>
          <w:sz w:val="24"/>
          <w:szCs w:val="24"/>
          <w:highlight w:val="none"/>
        </w:rPr>
      </w:pPr>
    </w:p>
    <w:p w14:paraId="04FFD4CF">
      <w:pPr>
        <w:pageBreakBefore w:val="0"/>
        <w:widowControl/>
        <w:wordWrap/>
        <w:overflowPunct/>
        <w:topLinePunct w:val="0"/>
        <w:bidi w:val="0"/>
        <w:spacing w:line="440" w:lineRule="exact"/>
        <w:ind w:left="0" w:left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发包人</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盖章</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承包人</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盖章</w:t>
      </w:r>
      <w:r>
        <w:rPr>
          <w:rFonts w:hint="eastAsia" w:ascii="宋体" w:hAnsi="宋体" w:eastAsia="宋体" w:cs="宋体"/>
          <w:color w:val="000000"/>
          <w:sz w:val="24"/>
          <w:szCs w:val="24"/>
          <w:highlight w:val="none"/>
          <w:lang w:eastAsia="zh-CN"/>
        </w:rPr>
        <w:t>）</w:t>
      </w:r>
    </w:p>
    <w:p w14:paraId="285D7DD0">
      <w:pPr>
        <w:pageBreakBefore w:val="0"/>
        <w:widowControl/>
        <w:wordWrap/>
        <w:overflowPunct/>
        <w:topLinePunct w:val="0"/>
        <w:bidi w:val="0"/>
        <w:spacing w:line="440" w:lineRule="exact"/>
        <w:ind w:left="0" w:leftChars="0"/>
        <w:jc w:val="both"/>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w:t>
      </w:r>
    </w:p>
    <w:p w14:paraId="34074D7B">
      <w:pPr>
        <w:pageBreakBefore w:val="0"/>
        <w:widowControl/>
        <w:wordWrap/>
        <w:overflowPunct/>
        <w:topLinePunct w:val="0"/>
        <w:bidi w:val="0"/>
        <w:spacing w:line="440" w:lineRule="exact"/>
        <w:ind w:left="0" w:left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法定代表人或其委托代理人：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法定代表人或其委托代理人：</w:t>
      </w:r>
    </w:p>
    <w:p w14:paraId="2AE94608">
      <w:pPr>
        <w:pageBreakBefore w:val="0"/>
        <w:widowControl/>
        <w:wordWrap/>
        <w:overflowPunct/>
        <w:topLinePunct w:val="0"/>
        <w:bidi w:val="0"/>
        <w:spacing w:line="440" w:lineRule="exact"/>
        <w:ind w:left="0" w:left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（签字）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（签字）</w:t>
      </w:r>
    </w:p>
    <w:p w14:paraId="137B3A82">
      <w:pPr>
        <w:pageBreakBefore w:val="0"/>
        <w:widowControl/>
        <w:wordWrap/>
        <w:overflowPunct/>
        <w:topLinePunct w:val="0"/>
        <w:bidi w:val="0"/>
        <w:spacing w:line="440" w:lineRule="exact"/>
        <w:ind w:left="0" w:leftChars="0"/>
        <w:jc w:val="both"/>
        <w:rPr>
          <w:rFonts w:hint="eastAsia" w:ascii="宋体" w:hAnsi="宋体" w:eastAsia="宋体" w:cs="宋体"/>
          <w:color w:val="000000"/>
          <w:sz w:val="24"/>
          <w:szCs w:val="24"/>
          <w:highlight w:val="none"/>
          <w:u w:val="single"/>
        </w:rPr>
      </w:pPr>
    </w:p>
    <w:p w14:paraId="3EA66501">
      <w:pPr>
        <w:pageBreakBefore w:val="0"/>
        <w:widowControl/>
        <w:wordWrap/>
        <w:overflowPunct/>
        <w:topLinePunct w:val="0"/>
        <w:bidi w:val="0"/>
        <w:spacing w:line="440" w:lineRule="exact"/>
        <w:ind w:left="0" w:leftChars="0"/>
        <w:jc w:val="both"/>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组织机构代码：</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组织机构代码：</w:t>
      </w:r>
      <w:r>
        <w:rPr>
          <w:rFonts w:hint="eastAsia" w:ascii="宋体" w:hAnsi="宋体" w:eastAsia="宋体" w:cs="宋体"/>
          <w:color w:val="000000"/>
          <w:sz w:val="24"/>
          <w:szCs w:val="24"/>
          <w:highlight w:val="none"/>
          <w:u w:val="single"/>
          <w:lang w:val="en-US" w:eastAsia="zh-CN"/>
        </w:rPr>
        <w:t xml:space="preserve">                     </w:t>
      </w:r>
    </w:p>
    <w:p w14:paraId="7E078289">
      <w:pPr>
        <w:pageBreakBefore w:val="0"/>
        <w:widowControl/>
        <w:wordWrap/>
        <w:overflowPunct/>
        <w:topLinePunct w:val="0"/>
        <w:bidi w:val="0"/>
        <w:spacing w:line="440" w:lineRule="exact"/>
        <w:ind w:left="0" w:leftChars="0"/>
        <w:jc w:val="both"/>
        <w:rPr>
          <w:rFonts w:hint="default" w:ascii="宋体" w:hAnsi="宋体" w:eastAsia="宋体" w:cs="宋体"/>
          <w:color w:val="auto"/>
          <w:szCs w:val="24"/>
          <w:highlight w:val="none"/>
          <w:u w:val="none"/>
          <w:lang w:val="en-US" w:eastAsia="zh-CN"/>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auto"/>
          <w:szCs w:val="24"/>
          <w:highlight w:val="none"/>
          <w:u w:val="single"/>
          <w:lang w:eastAsia="zh-CN"/>
        </w:rPr>
        <w:t>浙江省杭州市钱塘区临江街道</w:t>
      </w:r>
      <w:r>
        <w:rPr>
          <w:rFonts w:hint="eastAsia" w:ascii="宋体" w:hAnsi="宋体" w:eastAsia="宋体" w:cs="宋体"/>
          <w:color w:val="auto"/>
          <w:szCs w:val="24"/>
          <w:highlight w:val="none"/>
          <w:u w:val="none"/>
          <w:lang w:val="en-US" w:eastAsia="zh-CN"/>
        </w:rPr>
        <w:t xml:space="preserve">       </w:t>
      </w: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lang w:val="en-US" w:eastAsia="zh-CN"/>
        </w:rPr>
        <w:t xml:space="preserve">                        </w:t>
      </w:r>
    </w:p>
    <w:p w14:paraId="3C334FF7">
      <w:pPr>
        <w:pageBreakBefore w:val="0"/>
        <w:widowControl/>
        <w:wordWrap/>
        <w:overflowPunct/>
        <w:topLinePunct w:val="0"/>
        <w:bidi w:val="0"/>
        <w:spacing w:line="440" w:lineRule="exact"/>
        <w:ind w:firstLine="960" w:firstLineChars="400"/>
        <w:jc w:val="both"/>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auto"/>
          <w:szCs w:val="24"/>
          <w:highlight w:val="none"/>
          <w:u w:val="single"/>
          <w:lang w:eastAsia="zh-CN"/>
        </w:rPr>
        <w:t>红十五路10388-123号</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 xml:space="preserve">   </w:t>
      </w:r>
    </w:p>
    <w:p w14:paraId="3BDA5138">
      <w:pPr>
        <w:pageBreakBefore w:val="0"/>
        <w:widowControl/>
        <w:wordWrap/>
        <w:overflowPunct/>
        <w:topLinePunct w:val="0"/>
        <w:bidi w:val="0"/>
        <w:spacing w:line="440" w:lineRule="exact"/>
        <w:ind w:left="0" w:left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u w:val="single"/>
        </w:rPr>
        <w:t xml:space="preserve">             </w:t>
      </w:r>
    </w:p>
    <w:p w14:paraId="17F6CF4B">
      <w:pPr>
        <w:pageBreakBefore w:val="0"/>
        <w:widowControl/>
        <w:wordWrap/>
        <w:overflowPunct/>
        <w:topLinePunct w:val="0"/>
        <w:bidi w:val="0"/>
        <w:spacing w:line="440" w:lineRule="exact"/>
        <w:ind w:left="0" w:left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委托代理人：</w:t>
      </w:r>
      <w:r>
        <w:rPr>
          <w:rFonts w:hint="eastAsia" w:ascii="宋体" w:hAnsi="宋体" w:eastAsia="宋体" w:cs="宋体"/>
          <w:color w:val="000000"/>
          <w:sz w:val="24"/>
          <w:szCs w:val="24"/>
          <w:highlight w:val="none"/>
          <w:u w:val="single"/>
        </w:rPr>
        <w:t xml:space="preserve">             </w:t>
      </w:r>
    </w:p>
    <w:p w14:paraId="0C4915BF">
      <w:pPr>
        <w:pageBreakBefore w:val="0"/>
        <w:widowControl/>
        <w:wordWrap/>
        <w:overflowPunct/>
        <w:topLinePunct w:val="0"/>
        <w:bidi w:val="0"/>
        <w:spacing w:line="440" w:lineRule="exact"/>
        <w:ind w:left="0" w:leftChars="0"/>
        <w:jc w:val="both"/>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lang w:val="en-US" w:eastAsia="zh-CN"/>
        </w:rPr>
        <w:t xml:space="preserve">                      </w:t>
      </w:r>
    </w:p>
    <w:p w14:paraId="20EB91A6">
      <w:pPr>
        <w:pageBreakBefore w:val="0"/>
        <w:widowControl/>
        <w:wordWrap/>
        <w:overflowPunct/>
        <w:topLinePunct w:val="0"/>
        <w:bidi w:val="0"/>
        <w:spacing w:line="440" w:lineRule="exact"/>
        <w:ind w:left="0" w:left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14:paraId="4887FDFB">
      <w:pPr>
        <w:pageBreakBefore w:val="0"/>
        <w:widowControl/>
        <w:wordWrap/>
        <w:overflowPunct/>
        <w:topLinePunct w:val="0"/>
        <w:bidi w:val="0"/>
        <w:spacing w:line="440" w:lineRule="exact"/>
        <w:ind w:left="0" w:left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开户银行：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开户银行：</w:t>
      </w:r>
      <w:r>
        <w:rPr>
          <w:rFonts w:hint="eastAsia" w:ascii="宋体" w:hAnsi="宋体" w:eastAsia="宋体" w:cs="宋体"/>
          <w:color w:val="000000"/>
          <w:sz w:val="24"/>
          <w:szCs w:val="24"/>
          <w:highlight w:val="none"/>
          <w:u w:val="single"/>
          <w:lang w:val="en-US" w:eastAsia="zh-CN"/>
        </w:rPr>
        <w:t xml:space="preserve">                            </w:t>
      </w:r>
    </w:p>
    <w:p w14:paraId="5CF44A4C">
      <w:pPr>
        <w:pageBreakBefore w:val="0"/>
        <w:widowControl/>
        <w:wordWrap/>
        <w:overflowPunct/>
        <w:topLinePunct w:val="0"/>
        <w:bidi w:val="0"/>
        <w:spacing w:line="440" w:lineRule="exact"/>
        <w:ind w:left="0" w:leftChars="0"/>
        <w:jc w:val="both"/>
        <w:rPr>
          <w:rFonts w:hint="default" w:ascii="宋体" w:hAnsi="宋体" w:eastAsia="宋体" w:cs="仿宋"/>
          <w:sz w:val="21"/>
          <w:szCs w:val="21"/>
          <w:highlight w:val="none"/>
          <w:lang w:val="en-US" w:eastAsia="zh-CN"/>
        </w:rPr>
      </w:pPr>
      <w:r>
        <w:rPr>
          <w:rFonts w:hint="eastAsia" w:ascii="宋体" w:hAnsi="宋体" w:eastAsia="宋体" w:cs="宋体"/>
          <w:color w:val="000000"/>
          <w:sz w:val="24"/>
          <w:szCs w:val="24"/>
          <w:highlight w:val="none"/>
        </w:rPr>
        <w:t>账  号：</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账  号：</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cs="仿宋"/>
          <w:sz w:val="21"/>
          <w:szCs w:val="21"/>
          <w:highlight w:val="none"/>
        </w:rPr>
        <w:t xml:space="preserve"> </w:t>
      </w:r>
      <w:r>
        <w:rPr>
          <w:rFonts w:hint="eastAsia" w:ascii="宋体" w:hAnsi="宋体" w:cs="仿宋"/>
          <w:sz w:val="21"/>
          <w:szCs w:val="21"/>
          <w:highlight w:val="none"/>
          <w:lang w:val="en-US" w:eastAsia="zh-CN"/>
        </w:rPr>
        <w:t xml:space="preserve">     </w:t>
      </w:r>
    </w:p>
    <w:p w14:paraId="28ED00C9">
      <w:pPr>
        <w:rPr>
          <w:rFonts w:hint="default" w:ascii="Times New Roman" w:hAnsi="Times New Roman" w:eastAsia="新宋体" w:cs="Times New Roman"/>
          <w:color w:val="auto"/>
          <w:highlight w:val="none"/>
          <w:lang w:val="en-US" w:eastAsia="zh-CN"/>
        </w:rPr>
      </w:pPr>
      <w:r>
        <w:rPr>
          <w:rFonts w:ascii="Times New Roman" w:hAnsi="Times New Roman" w:cs="Times New Roman"/>
          <w:color w:val="auto"/>
          <w:highlight w:val="none"/>
        </w:rPr>
        <w:br w:type="page"/>
      </w:r>
      <w:r>
        <w:rPr>
          <w:rFonts w:hint="eastAsia" w:ascii="Times New Roman" w:hAnsi="Times New Roman" w:cs="Times New Roman"/>
          <w:color w:val="auto"/>
          <w:highlight w:val="none"/>
          <w:lang w:val="en-US" w:eastAsia="zh-CN"/>
        </w:rPr>
        <w:t>附件1</w:t>
      </w:r>
    </w:p>
    <w:p w14:paraId="59F2BA87">
      <w:pPr>
        <w:rPr>
          <w:rFonts w:ascii="Times New Roman" w:hAnsi="Times New Roman" w:cs="Times New Roman"/>
          <w:color w:val="auto"/>
          <w:highlight w:val="none"/>
        </w:rPr>
      </w:pPr>
    </w:p>
    <w:p w14:paraId="5E4AD6E6">
      <w:pPr>
        <w:rPr>
          <w:rFonts w:ascii="Times New Roman" w:hAnsi="Times New Roman" w:cs="Times New Roman"/>
          <w:color w:val="auto"/>
          <w:highlight w:val="none"/>
        </w:rPr>
      </w:pPr>
    </w:p>
    <w:p w14:paraId="0E22B006">
      <w:pPr>
        <w:spacing w:before="80" w:line="220" w:lineRule="auto"/>
        <w:ind w:left="3477"/>
        <w:outlineLvl w:val="1"/>
        <w:rPr>
          <w:rFonts w:ascii="宋体" w:hAnsi="宋体" w:eastAsia="宋体" w:cs="宋体"/>
          <w:sz w:val="28"/>
          <w:szCs w:val="28"/>
          <w:highlight w:val="none"/>
        </w:rPr>
      </w:pPr>
      <w:r>
        <w:rPr>
          <w:rFonts w:ascii="宋体" w:hAnsi="宋体" w:eastAsia="宋体" w:cs="宋体"/>
          <w:b/>
          <w:bCs/>
          <w:spacing w:val="-4"/>
          <w:sz w:val="28"/>
          <w:szCs w:val="28"/>
          <w:highlight w:val="none"/>
        </w:rPr>
        <w:t>安全文明施工责任合同</w:t>
      </w:r>
    </w:p>
    <w:p w14:paraId="618CE4A4">
      <w:pPr>
        <w:spacing w:before="99" w:line="220" w:lineRule="auto"/>
        <w:ind w:left="31"/>
        <w:rPr>
          <w:rFonts w:ascii="宋体" w:hAnsi="宋体" w:eastAsia="宋体" w:cs="宋体"/>
          <w:sz w:val="24"/>
          <w:szCs w:val="24"/>
          <w:highlight w:val="none"/>
        </w:rPr>
      </w:pPr>
      <w:r>
        <w:rPr>
          <w:rFonts w:ascii="宋体" w:hAnsi="宋体" w:eastAsia="宋体" w:cs="宋体"/>
          <w:spacing w:val="-4"/>
          <w:sz w:val="24"/>
          <w:szCs w:val="24"/>
          <w:highlight w:val="none"/>
        </w:rPr>
        <w:t>甲方（</w:t>
      </w:r>
      <w:r>
        <w:rPr>
          <w:rFonts w:hint="eastAsia" w:ascii="宋体" w:hAnsi="宋体" w:eastAsia="宋体" w:cs="宋体"/>
          <w:spacing w:val="-4"/>
          <w:sz w:val="24"/>
          <w:szCs w:val="24"/>
          <w:highlight w:val="none"/>
          <w:lang w:val="en-US" w:eastAsia="zh-CN"/>
        </w:rPr>
        <w:t>发包人</w:t>
      </w:r>
      <w:r>
        <w:rPr>
          <w:rFonts w:ascii="宋体" w:hAnsi="宋体" w:eastAsia="宋体" w:cs="宋体"/>
          <w:spacing w:val="-2"/>
          <w:sz w:val="24"/>
          <w:szCs w:val="24"/>
          <w:highlight w:val="none"/>
        </w:rPr>
        <w:t>）：</w:t>
      </w:r>
    </w:p>
    <w:p w14:paraId="1E7C2012">
      <w:pPr>
        <w:spacing w:before="114" w:line="220" w:lineRule="auto"/>
        <w:ind w:left="20"/>
        <w:rPr>
          <w:rFonts w:ascii="宋体" w:hAnsi="宋体" w:eastAsia="宋体" w:cs="宋体"/>
          <w:sz w:val="24"/>
          <w:szCs w:val="24"/>
          <w:highlight w:val="none"/>
        </w:rPr>
      </w:pPr>
      <w:r>
        <w:rPr>
          <w:rFonts w:ascii="宋体" w:hAnsi="宋体" w:eastAsia="宋体" w:cs="宋体"/>
          <w:spacing w:val="-3"/>
          <w:sz w:val="24"/>
          <w:szCs w:val="24"/>
          <w:highlight w:val="none"/>
        </w:rPr>
        <w:t>乙方（</w:t>
      </w:r>
      <w:r>
        <w:rPr>
          <w:rFonts w:hint="eastAsia" w:ascii="宋体" w:hAnsi="宋体" w:eastAsia="宋体" w:cs="宋体"/>
          <w:spacing w:val="-3"/>
          <w:sz w:val="24"/>
          <w:szCs w:val="24"/>
          <w:highlight w:val="none"/>
          <w:lang w:val="en-US" w:eastAsia="zh-CN"/>
        </w:rPr>
        <w:t>承包人</w:t>
      </w:r>
      <w:r>
        <w:rPr>
          <w:rFonts w:ascii="宋体" w:hAnsi="宋体" w:eastAsia="宋体" w:cs="宋体"/>
          <w:spacing w:val="-3"/>
          <w:sz w:val="24"/>
          <w:szCs w:val="24"/>
          <w:highlight w:val="none"/>
        </w:rPr>
        <w:t>）：</w:t>
      </w:r>
    </w:p>
    <w:p w14:paraId="04CF6EF4">
      <w:pPr>
        <w:spacing w:before="113" w:line="308" w:lineRule="auto"/>
        <w:ind w:left="1" w:right="217" w:firstLine="361"/>
        <w:jc w:val="both"/>
        <w:rPr>
          <w:rFonts w:ascii="宋体" w:hAnsi="宋体" w:eastAsia="宋体" w:cs="宋体"/>
          <w:sz w:val="24"/>
          <w:szCs w:val="24"/>
          <w:highlight w:val="none"/>
        </w:rPr>
      </w:pPr>
      <w:r>
        <w:rPr>
          <w:rFonts w:ascii="宋体" w:hAnsi="宋体" w:eastAsia="宋体" w:cs="宋体"/>
          <w:sz w:val="24"/>
          <w:szCs w:val="24"/>
          <w:highlight w:val="none"/>
        </w:rPr>
        <w:t>为保证项目建设顺利进行，双方依照《中华人民共和国安</w:t>
      </w:r>
      <w:r>
        <w:rPr>
          <w:rFonts w:ascii="宋体" w:hAnsi="宋体" w:eastAsia="宋体" w:cs="宋体"/>
          <w:spacing w:val="-1"/>
          <w:sz w:val="24"/>
          <w:szCs w:val="24"/>
          <w:highlight w:val="none"/>
        </w:rPr>
        <w:t>全生产法》、《中华人民共和国</w:t>
      </w:r>
      <w:r>
        <w:rPr>
          <w:rFonts w:ascii="宋体" w:hAnsi="宋体" w:eastAsia="宋体" w:cs="宋体"/>
          <w:sz w:val="24"/>
          <w:szCs w:val="24"/>
          <w:highlight w:val="none"/>
        </w:rPr>
        <w:t>合同》、《中华人民共和国建筑法》等有关法律、法规、规章和</w:t>
      </w:r>
      <w:r>
        <w:rPr>
          <w:rFonts w:ascii="宋体" w:hAnsi="宋体" w:eastAsia="宋体" w:cs="宋体"/>
          <w:spacing w:val="-1"/>
          <w:sz w:val="24"/>
          <w:szCs w:val="24"/>
          <w:highlight w:val="none"/>
        </w:rPr>
        <w:t>政策规定，在平等自愿、协</w:t>
      </w:r>
      <w:r>
        <w:rPr>
          <w:rFonts w:ascii="宋体" w:hAnsi="宋体" w:eastAsia="宋体" w:cs="宋体"/>
          <w:spacing w:val="-2"/>
          <w:sz w:val="24"/>
          <w:szCs w:val="24"/>
          <w:highlight w:val="none"/>
        </w:rPr>
        <w:t>商一致的基础上，就工程项目建设中所涉及的关有安全文明施工事项达成如下协议：</w:t>
      </w:r>
    </w:p>
    <w:p w14:paraId="3197B67B">
      <w:pPr>
        <w:spacing w:before="1" w:line="219" w:lineRule="auto"/>
        <w:ind w:left="484"/>
        <w:rPr>
          <w:rFonts w:ascii="宋体" w:hAnsi="宋体" w:eastAsia="宋体" w:cs="宋体"/>
          <w:sz w:val="24"/>
          <w:szCs w:val="24"/>
          <w:highlight w:val="none"/>
        </w:rPr>
      </w:pPr>
      <w:r>
        <w:rPr>
          <w:rFonts w:ascii="宋体" w:hAnsi="宋体" w:eastAsia="宋体" w:cs="宋体"/>
          <w:spacing w:val="-3"/>
          <w:sz w:val="24"/>
          <w:szCs w:val="24"/>
          <w:highlight w:val="none"/>
        </w:rPr>
        <w:t>一、双方的基本权利义务</w:t>
      </w:r>
    </w:p>
    <w:p w14:paraId="0C8E171F">
      <w:pPr>
        <w:spacing w:before="115" w:line="220"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（一）发包人权利义务</w:t>
      </w:r>
    </w:p>
    <w:p w14:paraId="06024872">
      <w:pPr>
        <w:spacing w:before="112" w:line="264" w:lineRule="auto"/>
        <w:ind w:firstLine="498"/>
        <w:rPr>
          <w:rFonts w:ascii="宋体" w:hAnsi="宋体" w:eastAsia="宋体" w:cs="宋体"/>
          <w:sz w:val="24"/>
          <w:szCs w:val="24"/>
          <w:highlight w:val="none"/>
        </w:rPr>
      </w:pPr>
      <w:r>
        <w:rPr>
          <w:rFonts w:ascii="宋体" w:hAnsi="宋体" w:eastAsia="宋体" w:cs="宋体"/>
          <w:spacing w:val="-1"/>
          <w:sz w:val="24"/>
          <w:szCs w:val="24"/>
          <w:highlight w:val="none"/>
        </w:rPr>
        <w:t>1、发包人有权要求承包人建立安全文明生产组织机构，并严格招</w:t>
      </w:r>
      <w:r>
        <w:rPr>
          <w:rFonts w:ascii="宋体" w:hAnsi="宋体" w:eastAsia="宋体" w:cs="宋体"/>
          <w:spacing w:val="-2"/>
          <w:sz w:val="24"/>
          <w:szCs w:val="24"/>
          <w:highlight w:val="none"/>
        </w:rPr>
        <w:t>待安全生产法规、标准，</w:t>
      </w:r>
      <w:r>
        <w:rPr>
          <w:rFonts w:ascii="宋体" w:hAnsi="宋体" w:eastAsia="宋体" w:cs="宋体"/>
          <w:spacing w:val="-3"/>
          <w:sz w:val="24"/>
          <w:szCs w:val="24"/>
          <w:highlight w:val="none"/>
        </w:rPr>
        <w:t>遵守安全文明生产规章制度、安全操作规程。</w:t>
      </w:r>
    </w:p>
    <w:p w14:paraId="346C4F84">
      <w:pPr>
        <w:spacing w:before="115" w:line="220" w:lineRule="auto"/>
        <w:ind w:left="483"/>
        <w:rPr>
          <w:rFonts w:ascii="宋体" w:hAnsi="宋体" w:eastAsia="宋体" w:cs="宋体"/>
          <w:sz w:val="24"/>
          <w:szCs w:val="24"/>
          <w:highlight w:val="none"/>
        </w:rPr>
      </w:pPr>
      <w:r>
        <w:rPr>
          <w:rFonts w:ascii="宋体" w:hAnsi="宋体" w:eastAsia="宋体" w:cs="宋体"/>
          <w:spacing w:val="-2"/>
          <w:sz w:val="24"/>
          <w:szCs w:val="24"/>
          <w:highlight w:val="none"/>
        </w:rPr>
        <w:t>2、发包人有权对承包人施工现场的安全文明作业情况进行监督检查。</w:t>
      </w:r>
    </w:p>
    <w:p w14:paraId="4ACD0830">
      <w:pPr>
        <w:spacing w:before="114" w:line="220"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3、发生事故后，根据国家有关规定参与事故的调查处理。</w:t>
      </w:r>
    </w:p>
    <w:p w14:paraId="3C71A9EF">
      <w:pPr>
        <w:spacing w:before="114" w:line="220" w:lineRule="auto"/>
        <w:ind w:left="487"/>
        <w:rPr>
          <w:rFonts w:ascii="宋体" w:hAnsi="宋体" w:eastAsia="宋体" w:cs="宋体"/>
          <w:sz w:val="24"/>
          <w:szCs w:val="24"/>
          <w:highlight w:val="none"/>
        </w:rPr>
      </w:pPr>
      <w:r>
        <w:rPr>
          <w:rFonts w:ascii="宋体" w:hAnsi="宋体" w:eastAsia="宋体" w:cs="宋体"/>
          <w:spacing w:val="-3"/>
          <w:sz w:val="24"/>
          <w:szCs w:val="24"/>
          <w:highlight w:val="none"/>
        </w:rPr>
        <w:t>（二）承包人权利义务</w:t>
      </w:r>
    </w:p>
    <w:p w14:paraId="1FEFD9A1">
      <w:pPr>
        <w:spacing w:before="114" w:line="220" w:lineRule="auto"/>
        <w:ind w:left="498"/>
        <w:rPr>
          <w:rFonts w:ascii="宋体" w:hAnsi="宋体" w:eastAsia="宋体" w:cs="宋体"/>
          <w:sz w:val="24"/>
          <w:szCs w:val="24"/>
          <w:highlight w:val="none"/>
        </w:rPr>
      </w:pPr>
      <w:r>
        <w:rPr>
          <w:rFonts w:ascii="宋体" w:hAnsi="宋体" w:eastAsia="宋体" w:cs="宋体"/>
          <w:spacing w:val="-2"/>
          <w:sz w:val="24"/>
          <w:szCs w:val="24"/>
          <w:highlight w:val="none"/>
        </w:rPr>
        <w:t>1、承包人应严格遵守《中华人民共和国安全生产法》、《中华人民共和国消防法》、</w:t>
      </w:r>
    </w:p>
    <w:p w14:paraId="56A8BBF8">
      <w:pPr>
        <w:spacing w:before="113" w:line="264" w:lineRule="auto"/>
        <w:ind w:left="5" w:right="348" w:hanging="4"/>
        <w:rPr>
          <w:rFonts w:ascii="宋体" w:hAnsi="宋体" w:eastAsia="宋体" w:cs="宋体"/>
          <w:sz w:val="24"/>
          <w:szCs w:val="24"/>
          <w:highlight w:val="none"/>
        </w:rPr>
      </w:pPr>
      <w:r>
        <w:rPr>
          <w:rFonts w:ascii="宋体" w:hAnsi="宋体" w:eastAsia="宋体" w:cs="宋体"/>
          <w:spacing w:val="-1"/>
          <w:sz w:val="24"/>
          <w:szCs w:val="24"/>
          <w:highlight w:val="none"/>
        </w:rPr>
        <w:t>《建筑工程项目管理规范》、《建筑施工安全技术规范》、《施工现场临时用电安全技术规范》以及国家、省、市有关工程建设安全文明管理的规定，建立健</w:t>
      </w:r>
      <w:r>
        <w:rPr>
          <w:rFonts w:ascii="宋体" w:hAnsi="宋体" w:eastAsia="宋体" w:cs="宋体"/>
          <w:spacing w:val="-2"/>
          <w:sz w:val="24"/>
          <w:szCs w:val="24"/>
          <w:highlight w:val="none"/>
        </w:rPr>
        <w:t>全安全生产规章制度。</w:t>
      </w:r>
    </w:p>
    <w:p w14:paraId="74DC01EF">
      <w:pPr>
        <w:spacing w:before="115" w:line="263" w:lineRule="auto"/>
        <w:ind w:left="25" w:right="243" w:firstLine="458"/>
        <w:rPr>
          <w:rFonts w:ascii="宋体" w:hAnsi="宋体" w:eastAsia="宋体" w:cs="宋体"/>
          <w:sz w:val="24"/>
          <w:szCs w:val="24"/>
          <w:highlight w:val="none"/>
        </w:rPr>
      </w:pPr>
      <w:r>
        <w:rPr>
          <w:rFonts w:ascii="宋体" w:hAnsi="宋体" w:eastAsia="宋体" w:cs="宋体"/>
          <w:spacing w:val="-1"/>
          <w:sz w:val="24"/>
          <w:szCs w:val="24"/>
          <w:highlight w:val="none"/>
        </w:rPr>
        <w:t>2、承包人制定事故防范措施和事故应急处理预案，在事故发生时积极组织抢险，并立即</w:t>
      </w:r>
      <w:r>
        <w:rPr>
          <w:rFonts w:ascii="宋体" w:hAnsi="宋体" w:eastAsia="宋体" w:cs="宋体"/>
          <w:spacing w:val="-8"/>
          <w:sz w:val="24"/>
          <w:szCs w:val="24"/>
          <w:highlight w:val="none"/>
        </w:rPr>
        <w:t>向有关方面报告。</w:t>
      </w:r>
    </w:p>
    <w:p w14:paraId="52D954D6">
      <w:pPr>
        <w:spacing w:before="116" w:line="264" w:lineRule="auto"/>
        <w:ind w:left="2" w:right="231" w:firstLine="482"/>
        <w:rPr>
          <w:rFonts w:ascii="宋体" w:hAnsi="宋体" w:eastAsia="宋体" w:cs="宋体"/>
          <w:spacing w:val="-2"/>
          <w:sz w:val="24"/>
          <w:szCs w:val="24"/>
          <w:highlight w:val="none"/>
        </w:rPr>
      </w:pPr>
      <w:r>
        <w:rPr>
          <w:rFonts w:ascii="宋体" w:hAnsi="宋体" w:eastAsia="宋体" w:cs="宋体"/>
          <w:spacing w:val="-1"/>
          <w:sz w:val="24"/>
          <w:szCs w:val="24"/>
          <w:highlight w:val="none"/>
        </w:rPr>
        <w:t>3</w:t>
      </w:r>
      <w:r>
        <w:rPr>
          <w:rFonts w:ascii="宋体" w:hAnsi="宋体" w:eastAsia="宋体" w:cs="宋体"/>
          <w:spacing w:val="-2"/>
          <w:sz w:val="24"/>
          <w:szCs w:val="24"/>
          <w:highlight w:val="none"/>
        </w:rPr>
        <w:t>、承包人对施工组织方案文件，发现存在安全操作规程、消防法规和防火设计规范，及可能导致安全隐患的，应及时向发包人提出意见。</w:t>
      </w:r>
    </w:p>
    <w:p w14:paraId="47CD8739">
      <w:pPr>
        <w:spacing w:before="116" w:line="264" w:lineRule="auto"/>
        <w:ind w:left="2" w:right="231" w:firstLine="482"/>
        <w:rPr>
          <w:rFonts w:ascii="宋体" w:hAnsi="宋体" w:eastAsia="宋体" w:cs="宋体"/>
          <w:spacing w:val="-2"/>
          <w:sz w:val="24"/>
          <w:szCs w:val="24"/>
          <w:highlight w:val="none"/>
        </w:rPr>
      </w:pPr>
      <w:r>
        <w:rPr>
          <w:rFonts w:ascii="宋体" w:hAnsi="宋体" w:eastAsia="宋体" w:cs="宋体"/>
          <w:spacing w:val="-2"/>
          <w:sz w:val="24"/>
          <w:szCs w:val="24"/>
          <w:highlight w:val="none"/>
        </w:rPr>
        <w:t>4、承包人应贯彻落实“安全第一，预防为主”的安全生产方针，强化现场施工人员和管理人员的安全生产意识，采取有效措施消除安全隐患，杜绝质量安全事故发生。</w:t>
      </w:r>
    </w:p>
    <w:p w14:paraId="240B8AE9">
      <w:pPr>
        <w:spacing w:before="116" w:line="264" w:lineRule="auto"/>
        <w:ind w:left="2" w:right="231" w:firstLine="482"/>
        <w:rPr>
          <w:rFonts w:ascii="宋体" w:hAnsi="宋体" w:eastAsia="宋体" w:cs="宋体"/>
          <w:spacing w:val="-2"/>
          <w:sz w:val="24"/>
          <w:szCs w:val="24"/>
          <w:highlight w:val="none"/>
        </w:rPr>
      </w:pPr>
      <w:r>
        <w:rPr>
          <w:rFonts w:ascii="宋体" w:hAnsi="宋体" w:eastAsia="宋体" w:cs="宋体"/>
          <w:spacing w:val="-2"/>
          <w:sz w:val="24"/>
          <w:szCs w:val="24"/>
          <w:highlight w:val="none"/>
        </w:rPr>
        <w:t>5、承包人应当注意保护相邻建筑物和地下管线设施，及时妥善地也有关部门协调处理。</w:t>
      </w:r>
    </w:p>
    <w:p w14:paraId="2FEF5EAE">
      <w:pPr>
        <w:spacing w:before="116" w:line="264" w:lineRule="auto"/>
        <w:ind w:left="2" w:right="231" w:firstLine="482"/>
        <w:rPr>
          <w:rFonts w:ascii="宋体" w:hAnsi="宋体" w:eastAsia="宋体" w:cs="宋体"/>
          <w:spacing w:val="-2"/>
          <w:sz w:val="24"/>
          <w:szCs w:val="24"/>
          <w:highlight w:val="none"/>
        </w:rPr>
      </w:pPr>
      <w:r>
        <w:rPr>
          <w:rFonts w:ascii="宋体" w:hAnsi="宋体" w:eastAsia="宋体" w:cs="宋体"/>
          <w:spacing w:val="-2"/>
          <w:sz w:val="24"/>
          <w:szCs w:val="24"/>
          <w:highlight w:val="none"/>
        </w:rPr>
        <w:t>6、承包人应自觉接受有关方面的安全文明监督检查，依法取得安全文明施工所需的各种批准文件。</w:t>
      </w:r>
    </w:p>
    <w:p w14:paraId="1F74E0A5">
      <w:pPr>
        <w:spacing w:before="116" w:line="264" w:lineRule="auto"/>
        <w:ind w:left="2" w:right="231" w:firstLine="482"/>
        <w:rPr>
          <w:rFonts w:ascii="宋体" w:hAnsi="宋体" w:eastAsia="宋体" w:cs="宋体"/>
          <w:spacing w:val="-2"/>
          <w:sz w:val="24"/>
          <w:szCs w:val="24"/>
          <w:highlight w:val="none"/>
        </w:rPr>
      </w:pPr>
      <w:r>
        <w:rPr>
          <w:rFonts w:ascii="宋体" w:hAnsi="宋体" w:eastAsia="宋体" w:cs="宋体"/>
          <w:spacing w:val="-2"/>
          <w:sz w:val="24"/>
          <w:szCs w:val="24"/>
          <w:highlight w:val="none"/>
        </w:rPr>
        <w:t>二、相关责任</w:t>
      </w:r>
    </w:p>
    <w:p w14:paraId="2B37FFBD">
      <w:pPr>
        <w:spacing w:before="116" w:line="264" w:lineRule="auto"/>
        <w:ind w:left="2" w:right="231" w:firstLine="482"/>
        <w:rPr>
          <w:rFonts w:ascii="宋体" w:hAnsi="宋体" w:eastAsia="宋体" w:cs="宋体"/>
          <w:spacing w:val="-2"/>
          <w:sz w:val="24"/>
          <w:szCs w:val="24"/>
          <w:highlight w:val="none"/>
        </w:rPr>
      </w:pPr>
      <w:r>
        <w:rPr>
          <w:rFonts w:ascii="宋体" w:hAnsi="宋体" w:eastAsia="宋体" w:cs="宋体"/>
          <w:spacing w:val="-2"/>
          <w:sz w:val="24"/>
          <w:szCs w:val="24"/>
          <w:highlight w:val="none"/>
        </w:rPr>
        <w:t>1、承包人应当严格按照项目建设施工合同和本协议规定组织安全文明施工，项目建设施工过程中所发生的一切质量安全事故以及由此而引起地一切费用支出、经济损失和法律责任</w:t>
      </w:r>
    </w:p>
    <w:p w14:paraId="728AEDF3">
      <w:pPr>
        <w:spacing w:before="116" w:line="264" w:lineRule="auto"/>
        <w:ind w:left="2" w:right="231" w:firstLine="482"/>
        <w:rPr>
          <w:rFonts w:ascii="宋体" w:hAnsi="宋体" w:eastAsia="宋体" w:cs="宋体"/>
          <w:spacing w:val="-2"/>
          <w:sz w:val="24"/>
          <w:szCs w:val="24"/>
          <w:highlight w:val="none"/>
        </w:rPr>
      </w:pPr>
      <w:r>
        <w:rPr>
          <w:rFonts w:ascii="宋体" w:hAnsi="宋体" w:eastAsia="宋体" w:cs="宋体"/>
          <w:spacing w:val="-2"/>
          <w:sz w:val="24"/>
          <w:szCs w:val="24"/>
          <w:highlight w:val="none"/>
        </w:rPr>
        <w:t>等，概由承包人承担；发包人参与质量安全事故调查处理而对外支出的各种费用（含罚款），由发包人在支付承包人合同价款时直接扣除。</w:t>
      </w:r>
    </w:p>
    <w:p w14:paraId="2265DF21">
      <w:pPr>
        <w:spacing w:before="116" w:line="264" w:lineRule="auto"/>
        <w:ind w:left="2" w:right="231" w:firstLine="482"/>
        <w:rPr>
          <w:rFonts w:ascii="宋体" w:hAnsi="宋体" w:eastAsia="宋体" w:cs="宋体"/>
          <w:spacing w:val="-2"/>
          <w:sz w:val="24"/>
          <w:szCs w:val="24"/>
          <w:highlight w:val="none"/>
        </w:rPr>
      </w:pPr>
      <w:r>
        <w:rPr>
          <w:rFonts w:ascii="宋体" w:hAnsi="宋体" w:eastAsia="宋体" w:cs="宋体"/>
          <w:spacing w:val="-2"/>
          <w:sz w:val="24"/>
          <w:szCs w:val="24"/>
          <w:highlight w:val="none"/>
        </w:rPr>
        <w:t>2、发生质量安全事故后，承包人弄虚作假、隐瞒不报、迟报或谎报，一经查出，发包人有权要求承包人在该期工程合同价款的万分之一至万分之五的范围内承担违约金。</w:t>
      </w:r>
    </w:p>
    <w:p w14:paraId="66DFB7A3">
      <w:pPr>
        <w:spacing w:before="116" w:line="264" w:lineRule="auto"/>
        <w:ind w:left="2" w:right="231" w:firstLine="482"/>
        <w:rPr>
          <w:rFonts w:ascii="宋体" w:hAnsi="宋体" w:eastAsia="宋体" w:cs="宋体"/>
          <w:spacing w:val="-2"/>
          <w:sz w:val="24"/>
          <w:szCs w:val="24"/>
          <w:highlight w:val="none"/>
        </w:rPr>
      </w:pPr>
      <w:r>
        <w:rPr>
          <w:rFonts w:ascii="宋体" w:hAnsi="宋体" w:eastAsia="宋体" w:cs="宋体"/>
          <w:spacing w:val="-2"/>
          <w:sz w:val="24"/>
          <w:szCs w:val="24"/>
          <w:highlight w:val="none"/>
        </w:rPr>
        <w:t>三、其它</w:t>
      </w:r>
    </w:p>
    <w:p w14:paraId="1F54FA54">
      <w:pPr>
        <w:spacing w:before="116" w:line="264" w:lineRule="auto"/>
        <w:ind w:left="2" w:right="231" w:firstLine="482"/>
        <w:rPr>
          <w:rFonts w:hint="eastAsia" w:ascii="宋体" w:hAnsi="宋体" w:eastAsia="宋体" w:cs="宋体"/>
          <w:spacing w:val="-2"/>
          <w:sz w:val="24"/>
          <w:szCs w:val="24"/>
          <w:highlight w:val="none"/>
          <w:lang w:val="en-US" w:eastAsia="zh-CN"/>
        </w:rPr>
      </w:pPr>
      <w:r>
        <w:rPr>
          <w:rFonts w:ascii="宋体" w:hAnsi="宋体" w:eastAsia="宋体" w:cs="宋体"/>
          <w:spacing w:val="-1"/>
          <w:sz w:val="24"/>
          <w:szCs w:val="24"/>
          <w:highlight w:val="none"/>
        </w:rPr>
        <w:t>本协议是施工合同的组成部分之一，有关安全文明条款若与</w:t>
      </w:r>
      <w:r>
        <w:rPr>
          <w:rFonts w:ascii="宋体" w:hAnsi="宋体" w:eastAsia="宋体" w:cs="宋体"/>
          <w:spacing w:val="-2"/>
          <w:sz w:val="24"/>
          <w:szCs w:val="24"/>
          <w:highlight w:val="none"/>
        </w:rPr>
        <w:t>施工合同有矛盾之处，以</w:t>
      </w:r>
      <w:r>
        <w:rPr>
          <w:rFonts w:ascii="宋体" w:hAnsi="宋体" w:eastAsia="宋体" w:cs="宋体"/>
          <w:spacing w:val="-7"/>
          <w:sz w:val="24"/>
          <w:szCs w:val="24"/>
          <w:highlight w:val="none"/>
        </w:rPr>
        <w:t>本协议为准。</w:t>
      </w:r>
      <w:r>
        <w:rPr>
          <w:rFonts w:hint="eastAsia" w:ascii="宋体" w:hAnsi="宋体" w:eastAsia="宋体" w:cs="宋体"/>
          <w:spacing w:val="-2"/>
          <w:sz w:val="24"/>
          <w:szCs w:val="24"/>
          <w:highlight w:val="none"/>
          <w:lang w:val="en-US" w:eastAsia="zh-CN"/>
        </w:rPr>
        <w:t>承包人在工程建设期间必须严格遵守发包人在安全生产管理制度。</w:t>
      </w:r>
    </w:p>
    <w:p w14:paraId="0F4B91B4">
      <w:pPr>
        <w:spacing w:before="116" w:line="264" w:lineRule="auto"/>
        <w:ind w:left="2" w:right="231" w:firstLine="482"/>
        <w:rPr>
          <w:rFonts w:hint="default" w:ascii="宋体" w:hAnsi="宋体" w:eastAsia="宋体" w:cs="宋体"/>
          <w:spacing w:val="-2"/>
          <w:sz w:val="24"/>
          <w:szCs w:val="24"/>
          <w:highlight w:val="none"/>
          <w:lang w:val="en-US" w:eastAsia="zh-CN"/>
        </w:rPr>
      </w:pPr>
    </w:p>
    <w:p w14:paraId="0268D580">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《杭州临江环境能源有限公司基建工程档案管理办法(修订)》</w:t>
      </w:r>
    </w:p>
    <w:p w14:paraId="6751E31E">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《杭州临江环境能源有限公司建设工程关键工序质量检查管理办法(修订)》</w:t>
      </w:r>
    </w:p>
    <w:p w14:paraId="12013476">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default" w:ascii="宋体" w:hAnsi="宋体" w:eastAsia="宋体" w:cs="宋体"/>
          <w:sz w:val="24"/>
          <w:szCs w:val="24"/>
          <w:highlight w:val="none"/>
          <w:lang w:val="en-US" w:eastAsia="zh-CN"/>
        </w:rPr>
        <w:t>《杭州临江环境能源有限公司工程现场考核管理办法》</w:t>
      </w:r>
    </w:p>
    <w:p w14:paraId="0DB5AFB7">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default" w:ascii="宋体" w:hAnsi="宋体" w:eastAsia="宋体" w:cs="宋体"/>
          <w:sz w:val="24"/>
          <w:szCs w:val="24"/>
          <w:highlight w:val="none"/>
          <w:lang w:val="en-US" w:eastAsia="zh-CN"/>
        </w:rPr>
        <w:t>《杭州临江环境能源有限公司建设项目安全设施“三同时”管理制度》</w:t>
      </w:r>
    </w:p>
    <w:p w14:paraId="3D48A882">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default" w:ascii="宋体" w:hAnsi="宋体" w:eastAsia="宋体" w:cs="宋体"/>
          <w:sz w:val="24"/>
          <w:szCs w:val="24"/>
          <w:highlight w:val="none"/>
          <w:lang w:val="en-US" w:eastAsia="zh-CN"/>
        </w:rPr>
        <w:t>《杭州临江环境能源有限公司工程建设项目(预)结算审计管理规定(修订)》</w:t>
      </w:r>
    </w:p>
    <w:p w14:paraId="54AF98BC">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default" w:ascii="宋体" w:hAnsi="宋体" w:eastAsia="宋体" w:cs="宋体"/>
          <w:sz w:val="24"/>
          <w:szCs w:val="24"/>
          <w:highlight w:val="none"/>
          <w:lang w:val="en-US" w:eastAsia="zh-CN"/>
        </w:rPr>
        <w:t>《杭州临江环境能源有限公司工程变更管理办法(修订)》</w:t>
      </w:r>
    </w:p>
    <w:p w14:paraId="1D76D023">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default" w:ascii="宋体" w:hAnsi="宋体" w:eastAsia="宋体" w:cs="宋体"/>
          <w:sz w:val="24"/>
          <w:szCs w:val="24"/>
          <w:highlight w:val="none"/>
          <w:lang w:val="en-US" w:eastAsia="zh-CN"/>
        </w:rPr>
        <w:t>《杭州临江环境能源有限公司建设工程分包管理办法(修订)》</w:t>
      </w:r>
    </w:p>
    <w:p w14:paraId="6174A32D">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default" w:ascii="宋体" w:hAnsi="宋体" w:eastAsia="宋体" w:cs="宋体"/>
          <w:sz w:val="24"/>
          <w:szCs w:val="24"/>
          <w:highlight w:val="none"/>
          <w:lang w:val="en-US" w:eastAsia="zh-CN"/>
        </w:rPr>
        <w:t>《杭州临江环境能源有限公司反“三违”管理制度(修订)》</w:t>
      </w:r>
    </w:p>
    <w:p w14:paraId="3C42C676">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default" w:ascii="宋体" w:hAnsi="宋体" w:eastAsia="宋体" w:cs="宋体"/>
          <w:sz w:val="24"/>
          <w:szCs w:val="24"/>
          <w:highlight w:val="none"/>
          <w:lang w:val="en-US" w:eastAsia="zh-CN"/>
        </w:rPr>
        <w:t>《杭州临江环境能源有限公司特殊作业安全管理办法(修订)》</w:t>
      </w:r>
    </w:p>
    <w:p w14:paraId="7AE8654F">
      <w:pPr>
        <w:pStyle w:val="8"/>
        <w:spacing w:before="78" w:line="360" w:lineRule="auto"/>
        <w:ind w:firstLine="0"/>
        <w:rPr>
          <w:rFonts w:ascii="宋体" w:hAnsi="宋体" w:eastAsia="宋体" w:cs="宋体"/>
          <w:sz w:val="24"/>
          <w:szCs w:val="24"/>
          <w:highlight w:val="none"/>
        </w:rPr>
      </w:pPr>
      <w:r>
        <w:rPr>
          <w:rFonts w:hint="eastAsia"/>
          <w:highlight w:val="none"/>
          <w:lang w:val="en-US" w:eastAsia="zh-CN"/>
        </w:rPr>
        <w:t>10、</w:t>
      </w:r>
      <w:r>
        <w:rPr>
          <w:rFonts w:hint="eastAsia"/>
          <w:highlight w:val="none"/>
        </w:rPr>
        <w:t>《杭州临江环境能源有限公司厂内交通安全管理办法(修订)》</w:t>
      </w:r>
    </w:p>
    <w:p w14:paraId="10EF073F">
      <w:pPr>
        <w:spacing w:line="310" w:lineRule="auto"/>
        <w:ind w:left="5" w:right="98" w:firstLine="496"/>
        <w:rPr>
          <w:rFonts w:ascii="宋体" w:hAnsi="宋体" w:eastAsia="宋体" w:cs="宋体"/>
          <w:sz w:val="24"/>
          <w:szCs w:val="24"/>
          <w:highlight w:val="none"/>
        </w:rPr>
      </w:pPr>
      <w:r>
        <w:rPr>
          <w:rFonts w:ascii="宋体" w:hAnsi="宋体" w:eastAsia="宋体" w:cs="宋体"/>
          <w:spacing w:val="-1"/>
          <w:sz w:val="24"/>
          <w:szCs w:val="24"/>
          <w:highlight w:val="none"/>
        </w:rPr>
        <w:t>四、本协议一式贰份，其中发包人一份，承包人一份。本协议自双方签字盖章之日起生</w:t>
      </w:r>
      <w:r>
        <w:rPr>
          <w:rFonts w:ascii="宋体" w:hAnsi="宋体" w:eastAsia="宋体" w:cs="宋体"/>
          <w:spacing w:val="-13"/>
          <w:sz w:val="24"/>
          <w:szCs w:val="24"/>
          <w:highlight w:val="none"/>
        </w:rPr>
        <w:t>效。</w:t>
      </w:r>
    </w:p>
    <w:p w14:paraId="04C0D406">
      <w:pPr>
        <w:spacing w:before="152"/>
        <w:rPr>
          <w:highlight w:val="none"/>
        </w:rPr>
      </w:pPr>
    </w:p>
    <w:tbl>
      <w:tblPr>
        <w:tblStyle w:val="29"/>
        <w:tblW w:w="9051" w:type="dxa"/>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36"/>
        <w:gridCol w:w="3915"/>
      </w:tblGrid>
      <w:tr w14:paraId="36C4A09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8" w:hRule="atLeast"/>
          <w:jc w:val="center"/>
        </w:trPr>
        <w:tc>
          <w:tcPr>
            <w:tcW w:w="5136" w:type="dxa"/>
            <w:noWrap w:val="0"/>
            <w:vAlign w:val="top"/>
          </w:tcPr>
          <w:p w14:paraId="4267B48B">
            <w:pPr>
              <w:pStyle w:val="39"/>
              <w:spacing w:line="219" w:lineRule="auto"/>
              <w:ind w:left="28"/>
              <w:rPr>
                <w:highlight w:val="none"/>
              </w:rPr>
            </w:pPr>
            <w:r>
              <w:rPr>
                <w:spacing w:val="-8"/>
                <w:highlight w:val="none"/>
              </w:rPr>
              <w:t>甲方（盖章）</w:t>
            </w:r>
          </w:p>
        </w:tc>
        <w:tc>
          <w:tcPr>
            <w:tcW w:w="3915" w:type="dxa"/>
            <w:noWrap w:val="0"/>
            <w:vAlign w:val="top"/>
          </w:tcPr>
          <w:p w14:paraId="46329890">
            <w:pPr>
              <w:pStyle w:val="39"/>
              <w:spacing w:line="219" w:lineRule="auto"/>
              <w:rPr>
                <w:highlight w:val="none"/>
              </w:rPr>
            </w:pPr>
            <w:r>
              <w:rPr>
                <w:spacing w:val="-7"/>
                <w:highlight w:val="none"/>
              </w:rPr>
              <w:t>乙方（盖章）</w:t>
            </w:r>
          </w:p>
        </w:tc>
      </w:tr>
      <w:tr w14:paraId="02961A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2" w:hRule="atLeast"/>
          <w:jc w:val="center"/>
        </w:trPr>
        <w:tc>
          <w:tcPr>
            <w:tcW w:w="5136" w:type="dxa"/>
            <w:noWrap w:val="0"/>
            <w:vAlign w:val="top"/>
          </w:tcPr>
          <w:p w14:paraId="64892AEA">
            <w:pPr>
              <w:pStyle w:val="39"/>
              <w:spacing w:before="282" w:line="220" w:lineRule="auto"/>
              <w:ind w:left="28"/>
              <w:rPr>
                <w:highlight w:val="none"/>
              </w:rPr>
            </w:pPr>
            <w:r>
              <w:rPr>
                <w:spacing w:val="-11"/>
                <w:highlight w:val="none"/>
              </w:rPr>
              <w:t>甲方法定代表人：</w:t>
            </w:r>
          </w:p>
        </w:tc>
        <w:tc>
          <w:tcPr>
            <w:tcW w:w="3915" w:type="dxa"/>
            <w:noWrap w:val="0"/>
            <w:vAlign w:val="top"/>
          </w:tcPr>
          <w:p w14:paraId="5249606A">
            <w:pPr>
              <w:pStyle w:val="39"/>
              <w:spacing w:before="282" w:line="220" w:lineRule="auto"/>
              <w:jc w:val="both"/>
              <w:rPr>
                <w:highlight w:val="none"/>
              </w:rPr>
            </w:pPr>
            <w:r>
              <w:rPr>
                <w:spacing w:val="-26"/>
                <w:highlight w:val="none"/>
              </w:rPr>
              <w:t>乙方法定代表人：</w:t>
            </w:r>
          </w:p>
        </w:tc>
      </w:tr>
      <w:tr w14:paraId="51038E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jc w:val="center"/>
        </w:trPr>
        <w:tc>
          <w:tcPr>
            <w:tcW w:w="5136" w:type="dxa"/>
            <w:noWrap w:val="0"/>
            <w:vAlign w:val="top"/>
          </w:tcPr>
          <w:p w14:paraId="09B96203">
            <w:pPr>
              <w:pStyle w:val="39"/>
              <w:spacing w:before="79" w:line="224" w:lineRule="auto"/>
              <w:rPr>
                <w:highlight w:val="none"/>
              </w:rPr>
            </w:pPr>
            <w:r>
              <w:rPr>
                <w:highlight w:val="none"/>
              </w:rPr>
              <w:t>或</w:t>
            </w:r>
          </w:p>
        </w:tc>
        <w:tc>
          <w:tcPr>
            <w:tcW w:w="3915" w:type="dxa"/>
            <w:noWrap w:val="0"/>
            <w:vAlign w:val="top"/>
          </w:tcPr>
          <w:p w14:paraId="54730CCD">
            <w:pPr>
              <w:pStyle w:val="39"/>
              <w:spacing w:before="79" w:line="224" w:lineRule="auto"/>
              <w:rPr>
                <w:highlight w:val="none"/>
              </w:rPr>
            </w:pPr>
            <w:r>
              <w:rPr>
                <w:highlight w:val="none"/>
              </w:rPr>
              <w:t>或</w:t>
            </w:r>
          </w:p>
        </w:tc>
      </w:tr>
      <w:tr w14:paraId="3972DB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jc w:val="center"/>
        </w:trPr>
        <w:tc>
          <w:tcPr>
            <w:tcW w:w="5136" w:type="dxa"/>
            <w:noWrap w:val="0"/>
            <w:vAlign w:val="top"/>
          </w:tcPr>
          <w:p w14:paraId="73B1C7BE">
            <w:pPr>
              <w:pStyle w:val="39"/>
              <w:spacing w:before="82" w:line="177" w:lineRule="auto"/>
              <w:ind w:left="28"/>
              <w:rPr>
                <w:highlight w:val="none"/>
              </w:rPr>
            </w:pPr>
            <w:r>
              <w:rPr>
                <w:spacing w:val="-11"/>
                <w:highlight w:val="none"/>
              </w:rPr>
              <w:t>甲方委托代理人：</w:t>
            </w:r>
          </w:p>
        </w:tc>
        <w:tc>
          <w:tcPr>
            <w:tcW w:w="3915" w:type="dxa"/>
            <w:noWrap w:val="0"/>
            <w:vAlign w:val="top"/>
          </w:tcPr>
          <w:p w14:paraId="032C8578">
            <w:pPr>
              <w:pStyle w:val="39"/>
              <w:spacing w:before="82" w:line="177" w:lineRule="auto"/>
              <w:jc w:val="both"/>
              <w:rPr>
                <w:highlight w:val="none"/>
              </w:rPr>
            </w:pPr>
            <w:r>
              <w:rPr>
                <w:spacing w:val="-25"/>
                <w:w w:val="99"/>
                <w:highlight w:val="none"/>
              </w:rPr>
              <w:t>乙方委托代理人：</w:t>
            </w:r>
          </w:p>
        </w:tc>
      </w:tr>
    </w:tbl>
    <w:p w14:paraId="10002877">
      <w:pPr>
        <w:pStyle w:val="8"/>
        <w:spacing w:line="478" w:lineRule="auto"/>
        <w:rPr>
          <w:highlight w:val="none"/>
        </w:rPr>
      </w:pPr>
    </w:p>
    <w:p w14:paraId="66494651">
      <w:pPr>
        <w:spacing w:before="78" w:line="220" w:lineRule="auto"/>
        <w:rPr>
          <w:rFonts w:ascii="宋体" w:hAnsi="宋体" w:eastAsia="宋体" w:cs="宋体"/>
          <w:sz w:val="24"/>
          <w:szCs w:val="24"/>
          <w:highlight w:val="none"/>
        </w:rPr>
      </w:pPr>
      <w:r>
        <w:rPr>
          <w:rFonts w:ascii="宋体" w:hAnsi="宋体" w:eastAsia="宋体" w:cs="宋体"/>
          <w:spacing w:val="-17"/>
          <w:sz w:val="24"/>
          <w:szCs w:val="24"/>
          <w:highlight w:val="none"/>
        </w:rPr>
        <w:t>年</w:t>
      </w:r>
      <w:r>
        <w:rPr>
          <w:rFonts w:ascii="宋体" w:hAnsi="宋体" w:eastAsia="宋体" w:cs="宋体"/>
          <w:spacing w:val="7"/>
          <w:sz w:val="24"/>
          <w:szCs w:val="24"/>
          <w:highlight w:val="none"/>
        </w:rPr>
        <w:t xml:space="preserve">  </w:t>
      </w:r>
      <w:r>
        <w:rPr>
          <w:rFonts w:ascii="宋体" w:hAnsi="宋体" w:eastAsia="宋体" w:cs="宋体"/>
          <w:spacing w:val="-17"/>
          <w:sz w:val="24"/>
          <w:szCs w:val="24"/>
          <w:highlight w:val="none"/>
        </w:rPr>
        <w:t>月</w:t>
      </w:r>
      <w:r>
        <w:rPr>
          <w:rFonts w:ascii="宋体" w:hAnsi="宋体" w:eastAsia="宋体" w:cs="宋体"/>
          <w:spacing w:val="25"/>
          <w:sz w:val="24"/>
          <w:szCs w:val="24"/>
          <w:highlight w:val="none"/>
        </w:rPr>
        <w:t xml:space="preserve">  </w:t>
      </w:r>
      <w:r>
        <w:rPr>
          <w:rFonts w:ascii="宋体" w:hAnsi="宋体" w:eastAsia="宋体" w:cs="宋体"/>
          <w:spacing w:val="-17"/>
          <w:sz w:val="24"/>
          <w:szCs w:val="24"/>
          <w:highlight w:val="none"/>
        </w:rPr>
        <w:t>日</w:t>
      </w:r>
      <w:r>
        <w:rPr>
          <w:rFonts w:ascii="宋体" w:hAnsi="宋体" w:eastAsia="宋体" w:cs="宋体"/>
          <w:sz w:val="24"/>
          <w:szCs w:val="24"/>
          <w:highlight w:val="none"/>
        </w:rPr>
        <w:t xml:space="preserve">                                </w:t>
      </w:r>
      <w:r>
        <w:rPr>
          <w:rFonts w:ascii="宋体" w:hAnsi="宋体" w:eastAsia="宋体" w:cs="宋体"/>
          <w:spacing w:val="-17"/>
          <w:sz w:val="24"/>
          <w:szCs w:val="24"/>
          <w:highlight w:val="none"/>
        </w:rPr>
        <w:t>年</w:t>
      </w:r>
      <w:r>
        <w:rPr>
          <w:rFonts w:ascii="宋体" w:hAnsi="宋体" w:eastAsia="宋体" w:cs="宋体"/>
          <w:spacing w:val="8"/>
          <w:sz w:val="24"/>
          <w:szCs w:val="24"/>
          <w:highlight w:val="none"/>
        </w:rPr>
        <w:t xml:space="preserve">   </w:t>
      </w:r>
      <w:r>
        <w:rPr>
          <w:rFonts w:ascii="宋体" w:hAnsi="宋体" w:eastAsia="宋体" w:cs="宋体"/>
          <w:spacing w:val="-17"/>
          <w:sz w:val="24"/>
          <w:szCs w:val="24"/>
          <w:highlight w:val="none"/>
        </w:rPr>
        <w:t>月</w:t>
      </w:r>
      <w:r>
        <w:rPr>
          <w:rFonts w:ascii="宋体" w:hAnsi="宋体" w:eastAsia="宋体" w:cs="宋体"/>
          <w:spacing w:val="53"/>
          <w:sz w:val="24"/>
          <w:szCs w:val="24"/>
          <w:highlight w:val="none"/>
        </w:rPr>
        <w:t xml:space="preserve"> </w:t>
      </w:r>
      <w:r>
        <w:rPr>
          <w:rFonts w:ascii="宋体" w:hAnsi="宋体" w:eastAsia="宋体" w:cs="宋体"/>
          <w:spacing w:val="-17"/>
          <w:sz w:val="24"/>
          <w:szCs w:val="24"/>
          <w:highlight w:val="none"/>
        </w:rPr>
        <w:t>日</w:t>
      </w:r>
    </w:p>
    <w:p w14:paraId="017A208A">
      <w:pPr>
        <w:pStyle w:val="8"/>
        <w:spacing w:line="432" w:lineRule="auto"/>
        <w:rPr>
          <w:highlight w:val="none"/>
        </w:rPr>
      </w:pPr>
    </w:p>
    <w:p w14:paraId="1B308BCD">
      <w:pPr>
        <w:spacing w:before="78" w:line="225" w:lineRule="auto"/>
        <w:rPr>
          <w:rFonts w:ascii="Times New Roman" w:hAnsi="Times New Roman" w:cs="Times New Roman"/>
          <w:color w:val="auto"/>
        </w:rPr>
      </w:pPr>
      <w:r>
        <w:rPr>
          <w:rFonts w:ascii="宋体" w:hAnsi="宋体" w:eastAsia="宋体" w:cs="宋体"/>
          <w:spacing w:val="-11"/>
          <w:sz w:val="24"/>
          <w:szCs w:val="24"/>
          <w:highlight w:val="none"/>
        </w:rPr>
        <w:t>签约地点</w:t>
      </w:r>
      <w:r>
        <w:rPr>
          <w:rFonts w:hint="eastAsia" w:ascii="宋体" w:hAnsi="宋体" w:eastAsia="宋体" w:cs="宋体"/>
          <w:spacing w:val="-11"/>
          <w:sz w:val="24"/>
          <w:szCs w:val="24"/>
          <w:highlight w:val="none"/>
          <w:lang w:eastAsia="zh-CN"/>
        </w:rPr>
        <w:t>：</w:t>
      </w:r>
    </w:p>
    <w:p w14:paraId="2E1954D5">
      <w:pPr>
        <w:kinsoku/>
        <w:wordWrap w:val="0"/>
        <w:topLinePunct/>
        <w:autoSpaceDE/>
        <w:autoSpaceDN/>
        <w:adjustRightInd/>
        <w:snapToGri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     </w:t>
      </w:r>
    </w:p>
    <w:p w14:paraId="3515FFE2">
      <w:pPr>
        <w:kinsoku/>
        <w:wordWrap w:val="0"/>
        <w:topLinePunct/>
        <w:autoSpaceDE/>
        <w:autoSpaceDN/>
        <w:adjustRightInd/>
        <w:snapToGrid/>
        <w:ind w:firstLine="480" w:firstLineChars="200"/>
        <w:jc w:val="center"/>
        <w:rPr>
          <w:rFonts w:ascii="Times New Roman" w:hAnsi="Times New Roman" w:eastAsia="宋体" w:cs="Times New Roman"/>
          <w:color w:val="auto"/>
        </w:rPr>
      </w:pPr>
    </w:p>
    <w:p w14:paraId="03DE598A">
      <w:pPr>
        <w:kinsoku/>
        <w:wordWrap w:val="0"/>
        <w:topLinePunct/>
        <w:autoSpaceDE/>
        <w:autoSpaceDN/>
        <w:adjustRightInd/>
        <w:snapToGrid/>
        <w:jc w:val="both"/>
        <w:rPr>
          <w:rFonts w:ascii="Times New Roman" w:hAnsi="Times New Roman" w:eastAsia="黑体" w:cs="Times New Roman"/>
          <w:color w:val="auto"/>
          <w:spacing w:val="-6"/>
          <w:sz w:val="44"/>
          <w:szCs w:val="44"/>
          <w14:textOutline w14:w="8712" w14:cap="flat" w14:cmpd="sng" w14:algn="ctr">
            <w14:solidFill>
              <w14:srgbClr w14:val="000000"/>
            </w14:solidFill>
            <w14:prstDash w14:val="solid"/>
            <w14:miter w14:val="0"/>
          </w14:textOutline>
        </w:rPr>
      </w:pPr>
    </w:p>
    <w:p w14:paraId="03443E57">
      <w:pPr>
        <w:kinsoku/>
        <w:wordWrap w:val="0"/>
        <w:topLinePunct/>
        <w:autoSpaceDE/>
        <w:autoSpaceDN/>
        <w:adjustRightInd/>
        <w:snapToGrid/>
        <w:jc w:val="center"/>
        <w:rPr>
          <w:rFonts w:ascii="Times New Roman" w:hAnsi="Times New Roman" w:eastAsia="黑体" w:cs="Times New Roman"/>
          <w:color w:val="auto"/>
          <w:spacing w:val="-3"/>
          <w:sz w:val="44"/>
          <w:szCs w:val="44"/>
          <w14:textOutline w14:w="8712" w14:cap="flat" w14:cmpd="sng" w14:algn="ctr">
            <w14:solidFill>
              <w14:srgbClr w14:val="000000"/>
            </w14:solidFill>
            <w14:prstDash w14:val="solid"/>
            <w14:miter w14:val="0"/>
          </w14:textOutline>
        </w:rPr>
      </w:pPr>
    </w:p>
    <w:p w14:paraId="2871025D">
      <w:pPr>
        <w:pStyle w:val="2"/>
        <w:kinsoku/>
        <w:topLinePunct/>
        <w:rPr>
          <w:rFonts w:ascii="Times New Roman" w:hAnsi="Times New Roman" w:cs="Times New Roman"/>
          <w:b w:val="0"/>
          <w:bCs w:val="0"/>
          <w:color w:val="auto"/>
          <w:spacing w:val="-3"/>
          <w14:textOutline w14:w="8712" w14:cap="flat" w14:cmpd="sng" w14:algn="ctr">
            <w14:solidFill>
              <w14:srgbClr w14:val="000000"/>
            </w14:solidFill>
            <w14:prstDash w14:val="solid"/>
            <w14:miter w14:val="0"/>
          </w14:textOutline>
        </w:rPr>
        <w:sectPr>
          <w:headerReference r:id="rId14" w:type="default"/>
          <w:footerReference r:id="rId15" w:type="default"/>
          <w:pgSz w:w="11906" w:h="16838"/>
          <w:pgMar w:top="1440" w:right="1083" w:bottom="1440" w:left="1083" w:header="850" w:footer="850" w:gutter="0"/>
          <w:cols w:space="0" w:num="1"/>
        </w:sectPr>
      </w:pPr>
    </w:p>
    <w:p w14:paraId="61B24BDE">
      <w:pPr>
        <w:pStyle w:val="2"/>
        <w:rPr>
          <w:rFonts w:ascii="Times New Roman" w:hAnsi="Times New Roman" w:cs="Times New Roman"/>
          <w:color w:val="auto"/>
        </w:rPr>
      </w:pPr>
      <w:r>
        <w:rPr>
          <w:rFonts w:ascii="Times New Roman" w:hAnsi="Times New Roman" w:cs="Times New Roman"/>
          <w:color w:val="auto"/>
        </w:rPr>
        <w:t>第五章　工程量清单编制</w:t>
      </w:r>
    </w:p>
    <w:p w14:paraId="76144F69">
      <w:pPr>
        <w:snapToGrid/>
        <w:ind w:left="30" w:right="21" w:firstLine="580"/>
        <w:rPr>
          <w:rFonts w:ascii="Times New Roman" w:hAnsi="Times New Roman" w:eastAsia="宋体" w:cs="Times New Roman"/>
          <w:color w:val="auto"/>
          <w:spacing w:val="15"/>
          <w:szCs w:val="24"/>
        </w:rPr>
      </w:pPr>
    </w:p>
    <w:p w14:paraId="1770DD5C">
      <w:pPr>
        <w:snapToGrid/>
        <w:spacing w:line="400" w:lineRule="exact"/>
        <w:ind w:left="30" w:right="21" w:firstLine="540" w:firstLineChars="200"/>
        <w:rPr>
          <w:rFonts w:ascii="Times New Roman" w:hAnsi="Times New Roman" w:eastAsia="宋体" w:cs="Times New Roman"/>
          <w:color w:val="auto"/>
          <w:szCs w:val="24"/>
        </w:rPr>
      </w:pPr>
      <w:r>
        <w:rPr>
          <w:rFonts w:ascii="Times New Roman" w:hAnsi="Times New Roman" w:eastAsia="宋体" w:cs="Times New Roman"/>
          <w:color w:val="auto"/>
          <w:spacing w:val="15"/>
          <w:szCs w:val="24"/>
        </w:rPr>
        <w:t>(一)工程量清单编制严格按《杭州市建设工程工程量清单计价实施细则(201</w:t>
      </w:r>
      <w:r>
        <w:rPr>
          <w:rFonts w:ascii="Times New Roman" w:hAnsi="Times New Roman" w:eastAsia="宋体" w:cs="Times New Roman"/>
          <w:color w:val="auto"/>
          <w:spacing w:val="14"/>
          <w:szCs w:val="24"/>
        </w:rPr>
        <w:t>8年修</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13"/>
          <w:szCs w:val="24"/>
        </w:rPr>
        <w:t>订)》实施，所采用的表格格式如下(具体详见附件)</w:t>
      </w:r>
      <w:r>
        <w:rPr>
          <w:rFonts w:hint="eastAsia" w:ascii="Times New Roman" w:hAnsi="Times New Roman" w:eastAsia="宋体" w:cs="Times New Roman"/>
          <w:color w:val="auto"/>
          <w:spacing w:val="13"/>
          <w:szCs w:val="24"/>
        </w:rPr>
        <w:t>：</w:t>
      </w:r>
    </w:p>
    <w:p w14:paraId="27C1A9A0">
      <w:pPr>
        <w:snapToGrid/>
        <w:spacing w:line="400" w:lineRule="exact"/>
        <w:ind w:firstLine="540" w:firstLineChars="200"/>
        <w:rPr>
          <w:rFonts w:ascii="Times New Roman" w:hAnsi="Times New Roman" w:eastAsia="宋体" w:cs="Times New Roman"/>
          <w:color w:val="auto"/>
          <w:szCs w:val="24"/>
        </w:rPr>
      </w:pPr>
      <w:r>
        <w:rPr>
          <w:rFonts w:ascii="Times New Roman" w:hAnsi="Times New Roman" w:eastAsia="宋体" w:cs="Times New Roman"/>
          <w:color w:val="auto"/>
          <w:spacing w:val="15"/>
          <w:szCs w:val="24"/>
        </w:rPr>
        <w:t>(1)发包工程量清单封面</w:t>
      </w:r>
    </w:p>
    <w:p w14:paraId="775866CF">
      <w:pPr>
        <w:snapToGrid/>
        <w:spacing w:line="400" w:lineRule="exact"/>
        <w:ind w:firstLine="536" w:firstLineChars="200"/>
        <w:rPr>
          <w:rFonts w:ascii="Times New Roman" w:hAnsi="Times New Roman" w:eastAsia="宋体" w:cs="Times New Roman"/>
          <w:color w:val="auto"/>
          <w:szCs w:val="24"/>
        </w:rPr>
      </w:pPr>
      <w:r>
        <w:rPr>
          <w:rFonts w:ascii="Times New Roman" w:hAnsi="Times New Roman" w:eastAsia="宋体" w:cs="Times New Roman"/>
          <w:color w:val="auto"/>
          <w:spacing w:val="14"/>
          <w:szCs w:val="24"/>
        </w:rPr>
        <w:t>(2)</w:t>
      </w:r>
      <w:r>
        <w:rPr>
          <w:rFonts w:ascii="Times New Roman" w:hAnsi="Times New Roman" w:eastAsia="宋体" w:cs="Times New Roman"/>
          <w:color w:val="auto"/>
          <w:spacing w:val="15"/>
          <w:szCs w:val="24"/>
        </w:rPr>
        <w:t>发包</w:t>
      </w:r>
      <w:r>
        <w:rPr>
          <w:rFonts w:ascii="Times New Roman" w:hAnsi="Times New Roman" w:eastAsia="宋体" w:cs="Times New Roman"/>
          <w:color w:val="auto"/>
          <w:spacing w:val="14"/>
          <w:szCs w:val="24"/>
        </w:rPr>
        <w:t>工程量清单扉页</w:t>
      </w:r>
    </w:p>
    <w:p w14:paraId="6076958F">
      <w:pPr>
        <w:snapToGrid/>
        <w:spacing w:line="400" w:lineRule="exact"/>
        <w:ind w:firstLine="536" w:firstLineChars="200"/>
        <w:rPr>
          <w:rFonts w:ascii="Times New Roman" w:hAnsi="Times New Roman" w:eastAsia="宋体" w:cs="Times New Roman"/>
          <w:color w:val="auto"/>
          <w:szCs w:val="24"/>
        </w:rPr>
      </w:pPr>
      <w:r>
        <w:rPr>
          <w:rFonts w:ascii="Times New Roman" w:hAnsi="Times New Roman" w:eastAsia="宋体" w:cs="Times New Roman"/>
          <w:color w:val="auto"/>
          <w:spacing w:val="14"/>
          <w:szCs w:val="24"/>
        </w:rPr>
        <w:t>(3)</w:t>
      </w:r>
      <w:r>
        <w:rPr>
          <w:rFonts w:ascii="Times New Roman" w:hAnsi="Times New Roman" w:eastAsia="宋体" w:cs="Times New Roman"/>
          <w:color w:val="auto"/>
          <w:spacing w:val="15"/>
          <w:szCs w:val="24"/>
        </w:rPr>
        <w:t>发包</w:t>
      </w:r>
      <w:r>
        <w:rPr>
          <w:rFonts w:ascii="Times New Roman" w:hAnsi="Times New Roman" w:eastAsia="宋体" w:cs="Times New Roman"/>
          <w:color w:val="auto"/>
          <w:spacing w:val="14"/>
          <w:szCs w:val="24"/>
        </w:rPr>
        <w:t>工程量清单编制说明</w:t>
      </w:r>
    </w:p>
    <w:p w14:paraId="2780EF38">
      <w:pPr>
        <w:snapToGrid/>
        <w:spacing w:line="400" w:lineRule="exact"/>
        <w:ind w:firstLine="528" w:firstLineChars="200"/>
        <w:rPr>
          <w:rFonts w:ascii="Times New Roman" w:hAnsi="Times New Roman" w:eastAsia="宋体" w:cs="Times New Roman"/>
          <w:color w:val="auto"/>
          <w:szCs w:val="24"/>
        </w:rPr>
      </w:pPr>
      <w:r>
        <w:rPr>
          <w:rFonts w:ascii="Times New Roman" w:hAnsi="Times New Roman" w:eastAsia="宋体" w:cs="Times New Roman"/>
          <w:color w:val="auto"/>
          <w:spacing w:val="12"/>
          <w:szCs w:val="24"/>
        </w:rPr>
        <w:t>(4)表1-</w:t>
      </w:r>
      <w:r>
        <w:rPr>
          <w:rFonts w:ascii="Times New Roman" w:hAnsi="Times New Roman" w:eastAsia="宋体" w:cs="Times New Roman"/>
          <w:color w:val="auto"/>
          <w:spacing w:val="-59"/>
          <w:szCs w:val="24"/>
        </w:rPr>
        <w:t xml:space="preserve"> </w:t>
      </w:r>
      <w:r>
        <w:rPr>
          <w:rFonts w:ascii="Times New Roman" w:hAnsi="Times New Roman" w:eastAsia="宋体" w:cs="Times New Roman"/>
          <w:color w:val="auto"/>
          <w:spacing w:val="12"/>
          <w:szCs w:val="24"/>
        </w:rPr>
        <w:t>1-</w:t>
      </w:r>
      <w:r>
        <w:rPr>
          <w:rFonts w:ascii="Times New Roman" w:hAnsi="Times New Roman" w:eastAsia="宋体" w:cs="Times New Roman"/>
          <w:color w:val="auto"/>
          <w:spacing w:val="-68"/>
          <w:szCs w:val="24"/>
        </w:rPr>
        <w:t xml:space="preserve"> </w:t>
      </w:r>
      <w:r>
        <w:rPr>
          <w:rFonts w:ascii="Times New Roman" w:hAnsi="Times New Roman" w:eastAsia="宋体" w:cs="Times New Roman"/>
          <w:color w:val="auto"/>
          <w:spacing w:val="12"/>
          <w:szCs w:val="24"/>
        </w:rPr>
        <w:t>1工程项目报价汇总表</w:t>
      </w:r>
    </w:p>
    <w:p w14:paraId="678E5A26">
      <w:pPr>
        <w:snapToGrid/>
        <w:spacing w:line="400" w:lineRule="exact"/>
        <w:ind w:firstLine="528" w:firstLineChars="200"/>
        <w:rPr>
          <w:rFonts w:ascii="Times New Roman" w:hAnsi="Times New Roman" w:eastAsia="宋体" w:cs="Times New Roman"/>
          <w:color w:val="auto"/>
          <w:szCs w:val="24"/>
        </w:rPr>
      </w:pPr>
      <w:r>
        <w:rPr>
          <w:rFonts w:ascii="Times New Roman" w:hAnsi="Times New Roman" w:eastAsia="宋体" w:cs="Times New Roman"/>
          <w:color w:val="auto"/>
          <w:spacing w:val="12"/>
          <w:szCs w:val="24"/>
        </w:rPr>
        <w:t>(5)表1-</w:t>
      </w:r>
      <w:r>
        <w:rPr>
          <w:rFonts w:ascii="Times New Roman" w:hAnsi="Times New Roman" w:eastAsia="宋体" w:cs="Times New Roman"/>
          <w:color w:val="auto"/>
          <w:spacing w:val="-57"/>
          <w:szCs w:val="24"/>
        </w:rPr>
        <w:t xml:space="preserve"> </w:t>
      </w:r>
      <w:r>
        <w:rPr>
          <w:rFonts w:ascii="Times New Roman" w:hAnsi="Times New Roman" w:eastAsia="宋体" w:cs="Times New Roman"/>
          <w:color w:val="auto"/>
          <w:spacing w:val="12"/>
          <w:szCs w:val="24"/>
        </w:rPr>
        <w:t>1-2</w:t>
      </w:r>
      <w:r>
        <w:rPr>
          <w:rFonts w:ascii="Times New Roman" w:hAnsi="Times New Roman" w:eastAsia="宋体" w:cs="Times New Roman"/>
          <w:color w:val="auto"/>
          <w:spacing w:val="90"/>
          <w:szCs w:val="24"/>
        </w:rPr>
        <w:t xml:space="preserve"> </w:t>
      </w:r>
      <w:r>
        <w:rPr>
          <w:rFonts w:ascii="Times New Roman" w:hAnsi="Times New Roman" w:eastAsia="宋体" w:cs="Times New Roman"/>
          <w:color w:val="auto"/>
          <w:spacing w:val="12"/>
          <w:szCs w:val="24"/>
        </w:rPr>
        <w:t>单位工程报价汇总表</w:t>
      </w:r>
    </w:p>
    <w:p w14:paraId="309F8A02">
      <w:pPr>
        <w:snapToGrid/>
        <w:spacing w:line="400" w:lineRule="exact"/>
        <w:ind w:firstLine="556" w:firstLineChars="200"/>
        <w:rPr>
          <w:rFonts w:ascii="Times New Roman" w:hAnsi="Times New Roman" w:eastAsia="宋体" w:cs="Times New Roman"/>
          <w:color w:val="auto"/>
          <w:szCs w:val="24"/>
        </w:rPr>
      </w:pPr>
      <w:r>
        <w:rPr>
          <w:rFonts w:ascii="Times New Roman" w:hAnsi="Times New Roman" w:eastAsia="宋体" w:cs="Times New Roman"/>
          <w:color w:val="auto"/>
          <w:spacing w:val="19"/>
          <w:szCs w:val="24"/>
        </w:rPr>
        <w:t>(6)表1-</w:t>
      </w:r>
      <w:r>
        <w:rPr>
          <w:rFonts w:ascii="Times New Roman" w:hAnsi="Times New Roman" w:eastAsia="宋体" w:cs="Times New Roman"/>
          <w:color w:val="auto"/>
          <w:spacing w:val="-68"/>
          <w:szCs w:val="24"/>
        </w:rPr>
        <w:t xml:space="preserve"> </w:t>
      </w:r>
      <w:r>
        <w:rPr>
          <w:rFonts w:ascii="Times New Roman" w:hAnsi="Times New Roman" w:eastAsia="宋体" w:cs="Times New Roman"/>
          <w:color w:val="auto"/>
          <w:spacing w:val="19"/>
          <w:szCs w:val="24"/>
        </w:rPr>
        <w:t>3-A   组织措施项目(整体)清单及</w:t>
      </w:r>
      <w:r>
        <w:rPr>
          <w:rFonts w:ascii="Times New Roman" w:hAnsi="Times New Roman" w:eastAsia="宋体" w:cs="Times New Roman"/>
          <w:color w:val="auto"/>
          <w:spacing w:val="18"/>
          <w:szCs w:val="24"/>
        </w:rPr>
        <w:t>计价表</w:t>
      </w:r>
    </w:p>
    <w:p w14:paraId="0D9E4D27">
      <w:pPr>
        <w:snapToGrid/>
        <w:spacing w:line="400" w:lineRule="exact"/>
        <w:ind w:firstLine="560" w:firstLineChars="200"/>
        <w:rPr>
          <w:rFonts w:ascii="Times New Roman" w:hAnsi="Times New Roman" w:eastAsia="宋体" w:cs="Times New Roman"/>
          <w:color w:val="auto"/>
          <w:szCs w:val="24"/>
        </w:rPr>
      </w:pPr>
      <w:r>
        <w:rPr>
          <w:rFonts w:ascii="Times New Roman" w:hAnsi="Times New Roman" w:eastAsia="宋体" w:cs="Times New Roman"/>
          <w:color w:val="auto"/>
          <w:spacing w:val="20"/>
          <w:szCs w:val="24"/>
        </w:rPr>
        <w:t>(7)表1-</w:t>
      </w:r>
      <w:r>
        <w:rPr>
          <w:rFonts w:ascii="Times New Roman" w:hAnsi="Times New Roman" w:eastAsia="宋体" w:cs="Times New Roman"/>
          <w:color w:val="auto"/>
          <w:spacing w:val="-65"/>
          <w:szCs w:val="24"/>
        </w:rPr>
        <w:t xml:space="preserve"> </w:t>
      </w:r>
      <w:r>
        <w:rPr>
          <w:rFonts w:ascii="Times New Roman" w:hAnsi="Times New Roman" w:eastAsia="宋体" w:cs="Times New Roman"/>
          <w:color w:val="auto"/>
          <w:spacing w:val="20"/>
          <w:szCs w:val="24"/>
        </w:rPr>
        <w:t>3-B</w:t>
      </w:r>
      <w:r>
        <w:rPr>
          <w:rFonts w:ascii="Times New Roman" w:hAnsi="Times New Roman" w:eastAsia="宋体" w:cs="Times New Roman"/>
          <w:color w:val="auto"/>
          <w:spacing w:val="6"/>
          <w:szCs w:val="24"/>
        </w:rPr>
        <w:t xml:space="preserve">   </w:t>
      </w:r>
      <w:r>
        <w:rPr>
          <w:rFonts w:ascii="Times New Roman" w:hAnsi="Times New Roman" w:eastAsia="宋体" w:cs="Times New Roman"/>
          <w:color w:val="auto"/>
          <w:spacing w:val="20"/>
          <w:szCs w:val="24"/>
        </w:rPr>
        <w:t>组织措施项目(专业工程)清单及计价表</w:t>
      </w:r>
    </w:p>
    <w:p w14:paraId="368E05F9">
      <w:pPr>
        <w:snapToGrid/>
        <w:spacing w:line="400" w:lineRule="exact"/>
        <w:ind w:firstLine="520" w:firstLineChars="200"/>
        <w:rPr>
          <w:rFonts w:ascii="Times New Roman" w:hAnsi="Times New Roman" w:eastAsia="宋体" w:cs="Times New Roman"/>
          <w:color w:val="auto"/>
          <w:szCs w:val="24"/>
        </w:rPr>
      </w:pPr>
      <w:r>
        <w:rPr>
          <w:rFonts w:ascii="Times New Roman" w:hAnsi="Times New Roman" w:eastAsia="宋体" w:cs="Times New Roman"/>
          <w:color w:val="auto"/>
          <w:spacing w:val="10"/>
          <w:szCs w:val="24"/>
        </w:rPr>
        <w:t>(8)表1-</w:t>
      </w:r>
      <w:r>
        <w:rPr>
          <w:rFonts w:ascii="Times New Roman" w:hAnsi="Times New Roman" w:eastAsia="宋体" w:cs="Times New Roman"/>
          <w:color w:val="auto"/>
          <w:spacing w:val="-56"/>
          <w:szCs w:val="24"/>
        </w:rPr>
        <w:t xml:space="preserve"> </w:t>
      </w:r>
      <w:r>
        <w:rPr>
          <w:rFonts w:ascii="Times New Roman" w:hAnsi="Times New Roman" w:eastAsia="宋体" w:cs="Times New Roman"/>
          <w:color w:val="auto"/>
          <w:spacing w:val="10"/>
          <w:szCs w:val="24"/>
        </w:rPr>
        <w:t>3-A-1 安全文明施工措施项目清单及计价表</w:t>
      </w:r>
    </w:p>
    <w:p w14:paraId="50258F90">
      <w:pPr>
        <w:snapToGrid/>
        <w:spacing w:line="400" w:lineRule="exact"/>
        <w:ind w:firstLine="544" w:firstLineChars="200"/>
        <w:rPr>
          <w:rFonts w:ascii="Times New Roman" w:hAnsi="Times New Roman" w:eastAsia="宋体" w:cs="Times New Roman"/>
          <w:color w:val="auto"/>
          <w:szCs w:val="24"/>
        </w:rPr>
      </w:pPr>
      <w:r>
        <w:rPr>
          <w:rFonts w:ascii="Times New Roman" w:hAnsi="Times New Roman" w:eastAsia="宋体" w:cs="Times New Roman"/>
          <w:color w:val="auto"/>
          <w:spacing w:val="16"/>
          <w:szCs w:val="24"/>
        </w:rPr>
        <w:t>(9)表1-4</w:t>
      </w:r>
      <w:r>
        <w:rPr>
          <w:rFonts w:ascii="Times New Roman" w:hAnsi="Times New Roman" w:eastAsia="宋体" w:cs="Times New Roman"/>
          <w:color w:val="auto"/>
          <w:spacing w:val="4"/>
          <w:szCs w:val="24"/>
        </w:rPr>
        <w:t xml:space="preserve">    </w:t>
      </w:r>
      <w:r>
        <w:rPr>
          <w:rFonts w:ascii="Times New Roman" w:hAnsi="Times New Roman" w:eastAsia="宋体" w:cs="Times New Roman"/>
          <w:color w:val="auto"/>
          <w:spacing w:val="16"/>
          <w:szCs w:val="24"/>
        </w:rPr>
        <w:t>其他项目清单及计价表</w:t>
      </w:r>
    </w:p>
    <w:p w14:paraId="425597C6">
      <w:pPr>
        <w:snapToGrid/>
        <w:spacing w:line="400" w:lineRule="exact"/>
        <w:ind w:firstLine="536" w:firstLineChars="200"/>
        <w:rPr>
          <w:rFonts w:ascii="Times New Roman" w:hAnsi="Times New Roman" w:eastAsia="宋体" w:cs="Times New Roman"/>
          <w:color w:val="auto"/>
          <w:szCs w:val="24"/>
        </w:rPr>
      </w:pPr>
      <w:r>
        <w:rPr>
          <w:rFonts w:ascii="Times New Roman" w:hAnsi="Times New Roman" w:eastAsia="宋体" w:cs="Times New Roman"/>
          <w:color w:val="auto"/>
          <w:spacing w:val="14"/>
          <w:szCs w:val="24"/>
        </w:rPr>
        <w:t>(10)表1-4-</w:t>
      </w:r>
      <w:r>
        <w:rPr>
          <w:rFonts w:ascii="Times New Roman" w:hAnsi="Times New Roman" w:eastAsia="宋体" w:cs="Times New Roman"/>
          <w:color w:val="auto"/>
          <w:spacing w:val="-63"/>
          <w:szCs w:val="24"/>
        </w:rPr>
        <w:t xml:space="preserve"> </w:t>
      </w:r>
      <w:r>
        <w:rPr>
          <w:rFonts w:ascii="Times New Roman" w:hAnsi="Times New Roman" w:eastAsia="宋体" w:cs="Times New Roman"/>
          <w:color w:val="auto"/>
          <w:spacing w:val="14"/>
          <w:szCs w:val="24"/>
        </w:rPr>
        <w:t>1</w:t>
      </w:r>
      <w:r>
        <w:rPr>
          <w:rFonts w:ascii="Times New Roman" w:hAnsi="Times New Roman" w:eastAsia="宋体" w:cs="Times New Roman"/>
          <w:color w:val="auto"/>
          <w:spacing w:val="3"/>
          <w:szCs w:val="24"/>
        </w:rPr>
        <w:t xml:space="preserve">  </w:t>
      </w:r>
      <w:r>
        <w:rPr>
          <w:rFonts w:ascii="Times New Roman" w:hAnsi="Times New Roman" w:eastAsia="宋体" w:cs="Times New Roman"/>
          <w:color w:val="auto"/>
          <w:spacing w:val="14"/>
          <w:szCs w:val="24"/>
        </w:rPr>
        <w:t>计日工表</w:t>
      </w:r>
    </w:p>
    <w:p w14:paraId="1C5F3CAA">
      <w:pPr>
        <w:snapToGrid/>
        <w:spacing w:line="400" w:lineRule="exact"/>
        <w:ind w:firstLine="556" w:firstLineChars="200"/>
        <w:rPr>
          <w:rFonts w:ascii="Times New Roman" w:hAnsi="Times New Roman" w:eastAsia="宋体" w:cs="Times New Roman"/>
          <w:color w:val="auto"/>
          <w:szCs w:val="24"/>
        </w:rPr>
      </w:pPr>
      <w:r>
        <w:rPr>
          <w:rFonts w:ascii="Times New Roman" w:hAnsi="Times New Roman" w:eastAsia="宋体" w:cs="Times New Roman"/>
          <w:color w:val="auto"/>
          <w:spacing w:val="19"/>
          <w:szCs w:val="24"/>
        </w:rPr>
        <w:t>(11)表1-4-2总承包服务费项目及计价表</w:t>
      </w:r>
    </w:p>
    <w:p w14:paraId="564B5FAF">
      <w:pPr>
        <w:snapToGrid/>
        <w:spacing w:line="400" w:lineRule="exact"/>
        <w:ind w:firstLine="568" w:firstLineChars="200"/>
        <w:rPr>
          <w:rFonts w:ascii="Times New Roman" w:hAnsi="Times New Roman" w:eastAsia="宋体" w:cs="Times New Roman"/>
          <w:color w:val="auto"/>
          <w:szCs w:val="24"/>
        </w:rPr>
      </w:pPr>
      <w:r>
        <w:rPr>
          <w:rFonts w:ascii="Times New Roman" w:hAnsi="Times New Roman" w:eastAsia="宋体" w:cs="Times New Roman"/>
          <w:color w:val="auto"/>
          <w:spacing w:val="22"/>
          <w:szCs w:val="24"/>
        </w:rPr>
        <w:t>(12)表1-</w:t>
      </w:r>
      <w:r>
        <w:rPr>
          <w:rFonts w:ascii="Times New Roman" w:hAnsi="Times New Roman" w:eastAsia="宋体" w:cs="Times New Roman"/>
          <w:color w:val="auto"/>
          <w:spacing w:val="-66"/>
          <w:szCs w:val="24"/>
        </w:rPr>
        <w:t xml:space="preserve"> </w:t>
      </w:r>
      <w:r>
        <w:rPr>
          <w:rFonts w:ascii="Times New Roman" w:hAnsi="Times New Roman" w:eastAsia="宋体" w:cs="Times New Roman"/>
          <w:color w:val="auto"/>
          <w:spacing w:val="22"/>
          <w:szCs w:val="24"/>
        </w:rPr>
        <w:t>5</w:t>
      </w:r>
      <w:r>
        <w:rPr>
          <w:rFonts w:ascii="Times New Roman" w:hAnsi="Times New Roman" w:eastAsia="宋体" w:cs="Times New Roman"/>
          <w:color w:val="auto"/>
          <w:spacing w:val="110"/>
          <w:szCs w:val="24"/>
        </w:rPr>
        <w:t xml:space="preserve"> </w:t>
      </w:r>
      <w:r>
        <w:rPr>
          <w:rFonts w:ascii="Times New Roman" w:hAnsi="Times New Roman" w:eastAsia="宋体" w:cs="Times New Roman"/>
          <w:color w:val="auto"/>
          <w:spacing w:val="22"/>
          <w:szCs w:val="24"/>
        </w:rPr>
        <w:t>主要工日价格表</w:t>
      </w:r>
    </w:p>
    <w:p w14:paraId="023EE9DC">
      <w:pPr>
        <w:snapToGrid/>
        <w:spacing w:line="400" w:lineRule="exact"/>
        <w:ind w:firstLine="540" w:firstLineChars="200"/>
        <w:rPr>
          <w:rFonts w:ascii="Times New Roman" w:hAnsi="Times New Roman" w:eastAsia="宋体" w:cs="Times New Roman"/>
          <w:color w:val="auto"/>
          <w:szCs w:val="24"/>
        </w:rPr>
      </w:pPr>
      <w:r>
        <w:rPr>
          <w:rFonts w:ascii="Times New Roman" w:hAnsi="Times New Roman" w:eastAsia="宋体" w:cs="Times New Roman"/>
          <w:color w:val="auto"/>
          <w:spacing w:val="15"/>
          <w:szCs w:val="24"/>
        </w:rPr>
        <w:t>(13)表1</w:t>
      </w:r>
      <w:r>
        <w:rPr>
          <w:rFonts w:ascii="Times New Roman" w:hAnsi="Times New Roman" w:eastAsia="宋体" w:cs="Times New Roman"/>
          <w:color w:val="auto"/>
          <w:spacing w:val="-65"/>
          <w:szCs w:val="24"/>
        </w:rPr>
        <w:t xml:space="preserve"> </w:t>
      </w:r>
      <w:r>
        <w:rPr>
          <w:rFonts w:ascii="Times New Roman" w:hAnsi="Times New Roman" w:eastAsia="宋体" w:cs="Times New Roman"/>
          <w:color w:val="auto"/>
          <w:spacing w:val="15"/>
          <w:szCs w:val="24"/>
        </w:rPr>
        <w:t>-</w:t>
      </w:r>
      <w:r>
        <w:rPr>
          <w:rFonts w:ascii="Times New Roman" w:hAnsi="Times New Roman" w:eastAsia="宋体" w:cs="Times New Roman"/>
          <w:color w:val="auto"/>
          <w:spacing w:val="-61"/>
          <w:szCs w:val="24"/>
        </w:rPr>
        <w:t xml:space="preserve"> </w:t>
      </w:r>
      <w:r>
        <w:rPr>
          <w:rFonts w:ascii="Times New Roman" w:hAnsi="Times New Roman" w:eastAsia="宋体" w:cs="Times New Roman"/>
          <w:color w:val="auto"/>
          <w:spacing w:val="15"/>
          <w:szCs w:val="24"/>
        </w:rPr>
        <w:t>6  主要材料及设备价格表</w:t>
      </w:r>
    </w:p>
    <w:p w14:paraId="4C11E7A6">
      <w:pPr>
        <w:snapToGrid/>
        <w:spacing w:line="400" w:lineRule="exact"/>
        <w:ind w:firstLine="532" w:firstLineChars="200"/>
        <w:rPr>
          <w:rFonts w:ascii="Times New Roman" w:hAnsi="Times New Roman" w:eastAsia="宋体" w:cs="Times New Roman"/>
          <w:color w:val="auto"/>
          <w:szCs w:val="24"/>
        </w:rPr>
      </w:pPr>
      <w:r>
        <w:rPr>
          <w:rFonts w:ascii="Times New Roman" w:hAnsi="Times New Roman" w:eastAsia="宋体" w:cs="Times New Roman"/>
          <w:color w:val="auto"/>
          <w:spacing w:val="13"/>
          <w:szCs w:val="24"/>
        </w:rPr>
        <w:t>(14)表1-</w:t>
      </w:r>
      <w:r>
        <w:rPr>
          <w:rFonts w:ascii="Times New Roman" w:hAnsi="Times New Roman" w:eastAsia="宋体" w:cs="Times New Roman"/>
          <w:color w:val="auto"/>
          <w:spacing w:val="-58"/>
          <w:szCs w:val="24"/>
        </w:rPr>
        <w:t xml:space="preserve"> </w:t>
      </w:r>
      <w:r>
        <w:rPr>
          <w:rFonts w:ascii="Times New Roman" w:hAnsi="Times New Roman" w:eastAsia="宋体" w:cs="Times New Roman"/>
          <w:color w:val="auto"/>
          <w:spacing w:val="13"/>
          <w:szCs w:val="24"/>
        </w:rPr>
        <w:t>7</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13"/>
          <w:szCs w:val="24"/>
        </w:rPr>
        <w:t>主要机械台班价格表</w:t>
      </w:r>
    </w:p>
    <w:p w14:paraId="3DEC2175">
      <w:pPr>
        <w:snapToGrid/>
        <w:spacing w:line="400" w:lineRule="exact"/>
        <w:ind w:left="30" w:right="21" w:firstLine="540" w:firstLineChars="200"/>
        <w:rPr>
          <w:rFonts w:ascii="Times New Roman" w:hAnsi="Times New Roman" w:eastAsia="宋体" w:cs="Times New Roman"/>
          <w:color w:val="auto"/>
          <w:szCs w:val="24"/>
        </w:rPr>
      </w:pPr>
      <w:r>
        <w:rPr>
          <w:rFonts w:ascii="Times New Roman" w:hAnsi="Times New Roman" w:eastAsia="宋体" w:cs="Times New Roman"/>
          <w:color w:val="auto"/>
          <w:spacing w:val="15"/>
          <w:szCs w:val="24"/>
        </w:rPr>
        <w:t>(二)招标控制价编制严格按《杭州市建设工程工程量清单计价实施细则(2018年修</w:t>
      </w:r>
      <w:r>
        <w:rPr>
          <w:rFonts w:ascii="Times New Roman" w:hAnsi="Times New Roman" w:eastAsia="宋体" w:cs="Times New Roman"/>
          <w:color w:val="auto"/>
          <w:spacing w:val="12"/>
          <w:szCs w:val="24"/>
        </w:rPr>
        <w:t>订)》以及省市建设行政主管部门颁布的计价政</w:t>
      </w:r>
      <w:r>
        <w:rPr>
          <w:rFonts w:ascii="Times New Roman" w:hAnsi="Times New Roman" w:eastAsia="宋体" w:cs="Times New Roman"/>
          <w:color w:val="auto"/>
          <w:spacing w:val="11"/>
          <w:szCs w:val="24"/>
        </w:rPr>
        <w:t>策性文件实施。</w:t>
      </w:r>
    </w:p>
    <w:p w14:paraId="35B04CB8">
      <w:pPr>
        <w:snapToGrid/>
        <w:spacing w:line="400" w:lineRule="exact"/>
        <w:ind w:left="30" w:right="21" w:firstLine="480" w:firstLineChars="200"/>
        <w:rPr>
          <w:rFonts w:ascii="Times New Roman" w:hAnsi="Times New Roman" w:eastAsia="宋体" w:cs="Times New Roman"/>
          <w:color w:val="auto"/>
          <w:szCs w:val="24"/>
        </w:rPr>
      </w:pPr>
      <w:r>
        <w:rPr>
          <w:rFonts w:hint="eastAsia" w:ascii="Times New Roman" w:hAnsi="Times New Roman" w:eastAsia="宋体" w:cs="Times New Roman"/>
          <w:color w:val="auto"/>
          <w:szCs w:val="24"/>
        </w:rPr>
        <w:t>(三)发包人在交易文件中设置专门条款明确最高报价限价，防止潜在承包人围标抬价。</w:t>
      </w:r>
      <w:r>
        <w:rPr>
          <w:rFonts w:ascii="Times New Roman" w:hAnsi="Times New Roman" w:eastAsia="宋体" w:cs="Times New Roman"/>
          <w:color w:val="auto"/>
          <w:szCs w:val="24"/>
        </w:rPr>
        <w:t xml:space="preserve"> </w:t>
      </w:r>
      <w:r>
        <w:rPr>
          <w:rFonts w:hint="eastAsia" w:ascii="Times New Roman" w:hAnsi="Times New Roman" w:eastAsia="宋体" w:cs="Times New Roman"/>
          <w:color w:val="auto"/>
          <w:szCs w:val="24"/>
        </w:rPr>
        <w:t>最高报价限价即为招标控制价，不得高于批准的概算造价。</w:t>
      </w:r>
    </w:p>
    <w:p w14:paraId="085BF1A0">
      <w:pPr>
        <w:snapToGrid/>
        <w:spacing w:line="400" w:lineRule="exact"/>
        <w:ind w:right="1" w:firstLine="480" w:firstLineChars="200"/>
        <w:jc w:val="both"/>
        <w:rPr>
          <w:rFonts w:ascii="Times New Roman" w:hAnsi="Times New Roman" w:eastAsia="宋体" w:cs="Times New Roman"/>
          <w:color w:val="auto"/>
          <w:szCs w:val="24"/>
        </w:rPr>
      </w:pPr>
      <w:r>
        <w:rPr>
          <w:rFonts w:hint="eastAsia" w:ascii="Times New Roman" w:hAnsi="Times New Roman" w:eastAsia="宋体" w:cs="Times New Roman"/>
          <w:color w:val="auto"/>
          <w:szCs w:val="24"/>
        </w:rPr>
        <w:t>(四)为防止潜在承包人恶意低价竞标，发包人可以设置风险控制价，风险控制价的设定幅度按照《杭州市城乡建设委员会关于公布杭州市房屋建筑和市政基础设施项目风险控制价设定幅度的通知》（杭建市通知〔2025〕24号）文件执行。</w:t>
      </w:r>
    </w:p>
    <w:p w14:paraId="00F4A79C">
      <w:pPr>
        <w:snapToGrid/>
        <w:spacing w:line="400" w:lineRule="exact"/>
        <w:ind w:left="30" w:right="21" w:firstLine="480" w:firstLineChars="200"/>
        <w:rPr>
          <w:rFonts w:ascii="Times New Roman" w:hAnsi="Times New Roman" w:eastAsia="宋体" w:cs="Times New Roman"/>
          <w:color w:val="auto"/>
          <w:szCs w:val="24"/>
        </w:rPr>
      </w:pPr>
      <w:r>
        <w:rPr>
          <w:rFonts w:hint="eastAsia" w:ascii="Times New Roman" w:hAnsi="Times New Roman" w:eastAsia="宋体" w:cs="Times New Roman"/>
          <w:color w:val="auto"/>
          <w:szCs w:val="24"/>
        </w:rPr>
        <w:t>(五)潜在承包人应根据工程的实际，结合现行安全文明施工规范、施工现场管理规定要求、扬尘污染防治标准、安全文明施工标化工地创建等要求，采取合理措施，进行相应报价。</w:t>
      </w:r>
    </w:p>
    <w:p w14:paraId="7041EEE7">
      <w:pPr>
        <w:snapToGrid/>
        <w:spacing w:line="400" w:lineRule="exact"/>
        <w:ind w:left="510" w:firstLine="548" w:firstLineChars="200"/>
        <w:rPr>
          <w:rFonts w:ascii="Times New Roman" w:hAnsi="Times New Roman" w:eastAsia="宋体" w:cs="Times New Roman"/>
          <w:color w:val="auto"/>
          <w:szCs w:val="24"/>
        </w:rPr>
      </w:pPr>
      <w:r>
        <w:rPr>
          <w:rFonts w:ascii="Times New Roman" w:hAnsi="Times New Roman" w:eastAsia="宋体" w:cs="Times New Roman"/>
          <w:color w:val="auto"/>
          <w:spacing w:val="17"/>
          <w:szCs w:val="24"/>
        </w:rPr>
        <w:t>附：1.发包工程量清单封面(格式)</w:t>
      </w:r>
    </w:p>
    <w:p w14:paraId="7B4F7835">
      <w:pPr>
        <w:snapToGrid/>
        <w:spacing w:line="400" w:lineRule="exact"/>
        <w:ind w:left="980" w:firstLine="560" w:firstLineChars="200"/>
        <w:rPr>
          <w:rFonts w:ascii="Times New Roman" w:hAnsi="Times New Roman" w:eastAsia="宋体" w:cs="Times New Roman"/>
          <w:color w:val="auto"/>
          <w:szCs w:val="24"/>
        </w:rPr>
      </w:pPr>
      <w:r>
        <w:rPr>
          <w:rFonts w:ascii="Times New Roman" w:hAnsi="Times New Roman" w:eastAsia="宋体" w:cs="Times New Roman"/>
          <w:color w:val="auto"/>
          <w:spacing w:val="20"/>
          <w:szCs w:val="24"/>
        </w:rPr>
        <w:t>2.发包工程量清单扉页(格式)</w:t>
      </w:r>
    </w:p>
    <w:p w14:paraId="3AD2A061">
      <w:pPr>
        <w:snapToGrid/>
        <w:spacing w:line="400" w:lineRule="exact"/>
        <w:ind w:left="980" w:firstLine="548" w:firstLineChars="200"/>
        <w:rPr>
          <w:rFonts w:ascii="Times New Roman" w:hAnsi="Times New Roman" w:eastAsia="宋体" w:cs="Times New Roman"/>
          <w:color w:val="auto"/>
          <w:szCs w:val="24"/>
        </w:rPr>
      </w:pPr>
      <w:r>
        <w:rPr>
          <w:rFonts w:ascii="Times New Roman" w:hAnsi="Times New Roman" w:eastAsia="宋体" w:cs="Times New Roman"/>
          <w:color w:val="auto"/>
          <w:spacing w:val="17"/>
          <w:szCs w:val="24"/>
        </w:rPr>
        <w:t>3.发包工程量清单编制说明(格式)</w:t>
      </w:r>
    </w:p>
    <w:p w14:paraId="7B35527D">
      <w:pPr>
        <w:snapToGrid/>
        <w:spacing w:line="400" w:lineRule="exact"/>
        <w:ind w:left="30" w:right="21" w:firstLine="544" w:firstLineChars="200"/>
        <w:rPr>
          <w:rFonts w:ascii="Times New Roman" w:hAnsi="Times New Roman" w:eastAsia="宋体" w:cs="Times New Roman"/>
          <w:color w:val="auto"/>
          <w:szCs w:val="24"/>
        </w:rPr>
      </w:pPr>
      <w:r>
        <w:rPr>
          <w:rFonts w:ascii="Times New Roman" w:hAnsi="Times New Roman" w:eastAsia="宋体" w:cs="Times New Roman"/>
          <w:color w:val="auto"/>
          <w:spacing w:val="16"/>
          <w:szCs w:val="24"/>
        </w:rPr>
        <w:t>4.发包工程量清单格式详见商务标格式中的有关栏目(略)。</w:t>
      </w:r>
    </w:p>
    <w:p w14:paraId="2AEB239A">
      <w:pPr>
        <w:spacing w:line="219" w:lineRule="auto"/>
        <w:rPr>
          <w:rFonts w:ascii="Times New Roman" w:hAnsi="Times New Roman" w:eastAsia="宋体" w:cs="Times New Roman"/>
          <w:color w:val="auto"/>
          <w:sz w:val="23"/>
          <w:szCs w:val="23"/>
        </w:rPr>
        <w:sectPr>
          <w:footerReference r:id="rId16" w:type="default"/>
          <w:pgSz w:w="11910" w:h="16840"/>
          <w:pgMar w:top="1440" w:right="1080" w:bottom="1440" w:left="1080" w:header="0" w:footer="679" w:gutter="0"/>
          <w:cols w:space="720" w:num="1"/>
        </w:sectPr>
      </w:pPr>
    </w:p>
    <w:p w14:paraId="3640CB64">
      <w:pPr>
        <w:spacing w:before="81" w:line="219" w:lineRule="auto"/>
        <w:rPr>
          <w:rFonts w:ascii="Times New Roman" w:hAnsi="Times New Roman" w:eastAsia="宋体" w:cs="Times New Roman"/>
          <w:color w:val="auto"/>
          <w:sz w:val="25"/>
          <w:szCs w:val="25"/>
        </w:rPr>
      </w:pPr>
      <w:r>
        <w:rPr>
          <w:rFonts w:ascii="Times New Roman" w:hAnsi="Times New Roman" w:eastAsia="宋体" w:cs="Times New Roman"/>
          <w:color w:val="auto"/>
          <w:spacing w:val="17"/>
          <w:sz w:val="25"/>
          <w:szCs w:val="25"/>
        </w:rPr>
        <w:t>附件1:</w:t>
      </w:r>
    </w:p>
    <w:p w14:paraId="679F675A">
      <w:pPr>
        <w:pStyle w:val="8"/>
        <w:spacing w:line="475" w:lineRule="auto"/>
        <w:rPr>
          <w:rFonts w:cs="Times New Roman"/>
          <w:color w:val="auto"/>
        </w:rPr>
      </w:pPr>
    </w:p>
    <w:p w14:paraId="20E853C1">
      <w:pPr>
        <w:spacing w:before="65" w:line="220" w:lineRule="auto"/>
        <w:ind w:left="3650"/>
        <w:rPr>
          <w:rFonts w:ascii="Times New Roman" w:hAnsi="Times New Roman" w:eastAsia="宋体" w:cs="Times New Roman"/>
          <w:color w:val="auto"/>
          <w:sz w:val="28"/>
          <w:szCs w:val="28"/>
        </w:rPr>
      </w:pPr>
      <w:r>
        <w:rPr>
          <w:rFonts w:ascii="Times New Roman" w:hAnsi="Times New Roman" w:eastAsia="宋体" w:cs="Times New Roman"/>
          <w:color w:val="auto"/>
          <w:spacing w:val="38"/>
          <w:sz w:val="28"/>
          <w:szCs w:val="28"/>
        </w:rPr>
        <w:t>发包工程量清单封面</w:t>
      </w:r>
    </w:p>
    <w:p w14:paraId="242211B0">
      <w:pPr>
        <w:spacing w:before="161"/>
        <w:rPr>
          <w:rFonts w:ascii="Times New Roman" w:hAnsi="Times New Roman" w:cs="Times New Roman"/>
          <w:color w:val="auto"/>
        </w:rPr>
      </w:pPr>
    </w:p>
    <w:tbl>
      <w:tblPr>
        <w:tblStyle w:val="29"/>
        <w:tblW w:w="9330" w:type="dxa"/>
        <w:tblInd w:w="5" w:type="dxa"/>
        <w:tblBorders>
          <w:top w:val="single" w:color="000000" w:sz="2" w:space="0"/>
          <w:left w:val="single" w:color="000000" w:sz="4" w:space="0"/>
          <w:bottom w:val="single" w:color="000000" w:sz="8"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330"/>
      </w:tblGrid>
      <w:tr w14:paraId="559C46DC">
        <w:tblPrEx>
          <w:tblBorders>
            <w:top w:val="single" w:color="000000" w:sz="2" w:space="0"/>
            <w:left w:val="single" w:color="000000" w:sz="4" w:space="0"/>
            <w:bottom w:val="single" w:color="000000" w:sz="8"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505" w:hRule="atLeast"/>
        </w:trPr>
        <w:tc>
          <w:tcPr>
            <w:tcW w:w="9330" w:type="dxa"/>
          </w:tcPr>
          <w:p w14:paraId="4EB8D5F8">
            <w:pPr>
              <w:spacing w:line="249" w:lineRule="auto"/>
              <w:rPr>
                <w:rFonts w:ascii="Times New Roman" w:hAnsi="Times New Roman" w:cs="Times New Roman"/>
                <w:color w:val="auto"/>
                <w:sz w:val="21"/>
              </w:rPr>
            </w:pPr>
            <w:r>
              <w:rPr>
                <w:rFonts w:ascii="Times New Roman" w:hAnsi="Times New Roman" w:cs="Times New Roman"/>
                <w:color w:val="auto"/>
              </w:rPr>
              <w:drawing>
                <wp:anchor distT="0" distB="0" distL="0" distR="0" simplePos="0" relativeHeight="251667456" behindDoc="0" locked="0" layoutInCell="1" allowOverlap="1">
                  <wp:simplePos x="0" y="0"/>
                  <wp:positionH relativeFrom="rightMargin">
                    <wp:posOffset>-3796665</wp:posOffset>
                  </wp:positionH>
                  <wp:positionV relativeFrom="topMargin">
                    <wp:posOffset>3304540</wp:posOffset>
                  </wp:positionV>
                  <wp:extent cx="2463800" cy="6350"/>
                  <wp:effectExtent l="0" t="0" r="0" b="0"/>
                  <wp:wrapNone/>
                  <wp:docPr id="1026" name="IM 66"/>
                  <wp:cNvGraphicFramePr/>
                  <a:graphic xmlns:a="http://schemas.openxmlformats.org/drawingml/2006/main">
                    <a:graphicData uri="http://schemas.openxmlformats.org/drawingml/2006/picture">
                      <pic:pic xmlns:pic="http://schemas.openxmlformats.org/drawingml/2006/picture">
                        <pic:nvPicPr>
                          <pic:cNvPr id="1026" name="IM 66"/>
                          <pic:cNvPicPr/>
                        </pic:nvPicPr>
                        <pic:blipFill>
                          <a:blip r:embed="rId36" cstate="print"/>
                          <a:srcRect/>
                          <a:stretch>
                            <a:fillRect/>
                          </a:stretch>
                        </pic:blipFill>
                        <pic:spPr>
                          <a:xfrm>
                            <a:off x="0" y="0"/>
                            <a:ext cx="2463800" cy="6350"/>
                          </a:xfrm>
                          <a:prstGeom prst="rect">
                            <a:avLst/>
                          </a:prstGeom>
                        </pic:spPr>
                      </pic:pic>
                    </a:graphicData>
                  </a:graphic>
                </wp:anchor>
              </w:drawing>
            </w:r>
            <w:r>
              <w:rPr>
                <w:rFonts w:ascii="Times New Roman" w:hAnsi="Times New Roman" w:cs="Times New Roman"/>
                <w:color w:val="auto"/>
              </w:rPr>
              <w:drawing>
                <wp:anchor distT="0" distB="0" distL="0" distR="0" simplePos="0" relativeHeight="251668480" behindDoc="0" locked="0" layoutInCell="1" allowOverlap="1">
                  <wp:simplePos x="0" y="0"/>
                  <wp:positionH relativeFrom="rightMargin">
                    <wp:posOffset>-3796665</wp:posOffset>
                  </wp:positionH>
                  <wp:positionV relativeFrom="topMargin">
                    <wp:posOffset>4218940</wp:posOffset>
                  </wp:positionV>
                  <wp:extent cx="2457450" cy="6350"/>
                  <wp:effectExtent l="0" t="0" r="0" b="0"/>
                  <wp:wrapNone/>
                  <wp:docPr id="1027" name="IM 68"/>
                  <wp:cNvGraphicFramePr/>
                  <a:graphic xmlns:a="http://schemas.openxmlformats.org/drawingml/2006/main">
                    <a:graphicData uri="http://schemas.openxmlformats.org/drawingml/2006/picture">
                      <pic:pic xmlns:pic="http://schemas.openxmlformats.org/drawingml/2006/picture">
                        <pic:nvPicPr>
                          <pic:cNvPr id="1027" name="IM 68"/>
                          <pic:cNvPicPr/>
                        </pic:nvPicPr>
                        <pic:blipFill>
                          <a:blip r:embed="rId37" cstate="print"/>
                          <a:srcRect/>
                          <a:stretch>
                            <a:fillRect/>
                          </a:stretch>
                        </pic:blipFill>
                        <pic:spPr>
                          <a:xfrm>
                            <a:off x="0" y="0"/>
                            <a:ext cx="2457450" cy="6350"/>
                          </a:xfrm>
                          <a:prstGeom prst="rect">
                            <a:avLst/>
                          </a:prstGeom>
                        </pic:spPr>
                      </pic:pic>
                    </a:graphicData>
                  </a:graphic>
                </wp:anchor>
              </w:drawing>
            </w:r>
          </w:p>
          <w:p w14:paraId="72FA91FC">
            <w:pPr>
              <w:spacing w:line="249" w:lineRule="auto"/>
              <w:rPr>
                <w:rFonts w:ascii="Times New Roman" w:hAnsi="Times New Roman" w:cs="Times New Roman"/>
                <w:color w:val="auto"/>
                <w:sz w:val="21"/>
              </w:rPr>
            </w:pPr>
          </w:p>
          <w:p w14:paraId="1D9F4964">
            <w:pPr>
              <w:spacing w:line="249" w:lineRule="auto"/>
              <w:rPr>
                <w:rFonts w:ascii="Times New Roman" w:hAnsi="Times New Roman" w:cs="Times New Roman"/>
                <w:color w:val="auto"/>
                <w:sz w:val="21"/>
              </w:rPr>
            </w:pPr>
          </w:p>
          <w:p w14:paraId="0547474E">
            <w:pPr>
              <w:spacing w:line="251" w:lineRule="auto"/>
              <w:rPr>
                <w:rFonts w:ascii="Times New Roman" w:hAnsi="Times New Roman" w:cs="Times New Roman"/>
                <w:color w:val="auto"/>
                <w:sz w:val="21"/>
              </w:rPr>
            </w:pPr>
          </w:p>
          <w:p w14:paraId="51E95CF4">
            <w:pPr>
              <w:spacing w:line="251" w:lineRule="auto"/>
              <w:rPr>
                <w:rFonts w:ascii="Times New Roman" w:hAnsi="Times New Roman" w:cs="Times New Roman"/>
                <w:color w:val="auto"/>
                <w:sz w:val="21"/>
              </w:rPr>
            </w:pPr>
          </w:p>
          <w:p w14:paraId="6CA10B18">
            <w:pPr>
              <w:spacing w:line="251" w:lineRule="auto"/>
              <w:rPr>
                <w:rFonts w:ascii="Times New Roman" w:hAnsi="Times New Roman" w:cs="Times New Roman"/>
                <w:color w:val="auto"/>
                <w:sz w:val="21"/>
              </w:rPr>
            </w:pPr>
          </w:p>
          <w:p w14:paraId="31BE9EB2">
            <w:pPr>
              <w:spacing w:line="251" w:lineRule="auto"/>
              <w:rPr>
                <w:rFonts w:ascii="Times New Roman" w:hAnsi="Times New Roman" w:cs="Times New Roman"/>
                <w:color w:val="auto"/>
                <w:sz w:val="21"/>
              </w:rPr>
            </w:pPr>
          </w:p>
          <w:p w14:paraId="6739C3BF">
            <w:pPr>
              <w:pStyle w:val="39"/>
              <w:tabs>
                <w:tab w:val="left" w:pos="7005"/>
              </w:tabs>
              <w:spacing w:before="81" w:line="220" w:lineRule="auto"/>
              <w:ind w:left="1770"/>
              <w:rPr>
                <w:rFonts w:ascii="Times New Roman" w:hAnsi="Times New Roman" w:cs="Times New Roman"/>
                <w:color w:val="auto"/>
                <w:sz w:val="25"/>
                <w:szCs w:val="25"/>
                <w:lang w:eastAsia="zh-CN"/>
              </w:rPr>
            </w:pPr>
            <w:r>
              <w:rPr>
                <w:rFonts w:ascii="Times New Roman" w:hAnsi="Times New Roman" w:cs="Times New Roman"/>
                <w:color w:val="auto"/>
                <w:sz w:val="25"/>
                <w:szCs w:val="25"/>
                <w:u w:val="single"/>
                <w:lang w:eastAsia="zh-CN"/>
              </w:rPr>
              <w:tab/>
            </w:r>
            <w:r>
              <w:rPr>
                <w:rFonts w:ascii="Times New Roman" w:hAnsi="Times New Roman" w:cs="Times New Roman"/>
                <w:color w:val="auto"/>
                <w:spacing w:val="-7"/>
                <w:sz w:val="25"/>
                <w:szCs w:val="25"/>
                <w:u w:val="single"/>
                <w:lang w:eastAsia="zh-CN"/>
              </w:rPr>
              <w:t>工</w:t>
            </w:r>
            <w:r>
              <w:rPr>
                <w:rFonts w:ascii="Times New Roman" w:hAnsi="Times New Roman" w:cs="Times New Roman"/>
                <w:color w:val="auto"/>
                <w:spacing w:val="-7"/>
                <w:sz w:val="25"/>
                <w:szCs w:val="25"/>
                <w:lang w:eastAsia="zh-CN"/>
              </w:rPr>
              <w:t>程</w:t>
            </w:r>
          </w:p>
          <w:p w14:paraId="3FF45F14">
            <w:pPr>
              <w:spacing w:line="326" w:lineRule="auto"/>
              <w:rPr>
                <w:rFonts w:ascii="Times New Roman" w:hAnsi="Times New Roman" w:cs="Times New Roman"/>
                <w:color w:val="auto"/>
                <w:sz w:val="21"/>
              </w:rPr>
            </w:pPr>
          </w:p>
          <w:p w14:paraId="2C7CFE7A">
            <w:pPr>
              <w:spacing w:line="327" w:lineRule="auto"/>
              <w:rPr>
                <w:rFonts w:ascii="Times New Roman" w:hAnsi="Times New Roman" w:cs="Times New Roman"/>
                <w:color w:val="auto"/>
                <w:sz w:val="21"/>
              </w:rPr>
            </w:pPr>
          </w:p>
          <w:p w14:paraId="19C733E7">
            <w:pPr>
              <w:pStyle w:val="39"/>
              <w:spacing w:before="120" w:line="220" w:lineRule="auto"/>
              <w:ind w:left="3280"/>
              <w:rPr>
                <w:rFonts w:ascii="Times New Roman" w:hAnsi="Times New Roman" w:cs="Times New Roman"/>
                <w:color w:val="auto"/>
                <w:sz w:val="37"/>
                <w:szCs w:val="37"/>
                <w:lang w:eastAsia="zh-CN"/>
              </w:rPr>
            </w:pPr>
            <w:r>
              <w:rPr>
                <w:rFonts w:ascii="Times New Roman" w:hAnsi="Times New Roman" w:cs="Times New Roman"/>
                <w:color w:val="auto"/>
                <w:spacing w:val="22"/>
                <w:sz w:val="37"/>
                <w:szCs w:val="37"/>
                <w:lang w:eastAsia="zh-CN"/>
              </w:rPr>
              <w:t>发包工程量清单</w:t>
            </w:r>
          </w:p>
          <w:p w14:paraId="08B134B3">
            <w:pPr>
              <w:spacing w:line="251" w:lineRule="auto"/>
              <w:rPr>
                <w:rFonts w:ascii="Times New Roman" w:hAnsi="Times New Roman" w:cs="Times New Roman"/>
                <w:color w:val="auto"/>
                <w:sz w:val="21"/>
              </w:rPr>
            </w:pPr>
          </w:p>
          <w:p w14:paraId="2373A802">
            <w:pPr>
              <w:spacing w:line="251" w:lineRule="auto"/>
              <w:rPr>
                <w:rFonts w:ascii="Times New Roman" w:hAnsi="Times New Roman" w:cs="Times New Roman"/>
                <w:color w:val="auto"/>
                <w:sz w:val="21"/>
              </w:rPr>
            </w:pPr>
          </w:p>
          <w:p w14:paraId="2B779F89">
            <w:pPr>
              <w:spacing w:line="251" w:lineRule="auto"/>
              <w:rPr>
                <w:rFonts w:ascii="Times New Roman" w:hAnsi="Times New Roman" w:cs="Times New Roman"/>
                <w:color w:val="auto"/>
                <w:sz w:val="21"/>
              </w:rPr>
            </w:pPr>
          </w:p>
          <w:p w14:paraId="00C9F3D5">
            <w:pPr>
              <w:spacing w:line="251" w:lineRule="auto"/>
              <w:rPr>
                <w:rFonts w:ascii="Times New Roman" w:hAnsi="Times New Roman" w:cs="Times New Roman"/>
                <w:color w:val="auto"/>
                <w:sz w:val="21"/>
              </w:rPr>
            </w:pPr>
          </w:p>
          <w:p w14:paraId="0DB0E5AB">
            <w:pPr>
              <w:spacing w:line="251" w:lineRule="auto"/>
              <w:rPr>
                <w:rFonts w:ascii="Times New Roman" w:hAnsi="Times New Roman" w:cs="Times New Roman"/>
                <w:color w:val="auto"/>
                <w:sz w:val="21"/>
              </w:rPr>
            </w:pPr>
          </w:p>
          <w:p w14:paraId="7C31D90E">
            <w:pPr>
              <w:spacing w:line="253" w:lineRule="auto"/>
              <w:rPr>
                <w:rFonts w:ascii="Times New Roman" w:hAnsi="Times New Roman" w:cs="Times New Roman"/>
                <w:color w:val="auto"/>
                <w:sz w:val="21"/>
              </w:rPr>
            </w:pPr>
          </w:p>
          <w:p w14:paraId="1716FA11">
            <w:pPr>
              <w:pStyle w:val="39"/>
              <w:spacing w:before="81" w:line="220" w:lineRule="auto"/>
              <w:ind w:left="1910"/>
              <w:rPr>
                <w:rFonts w:ascii="Times New Roman" w:hAnsi="Times New Roman" w:cs="Times New Roman"/>
                <w:color w:val="auto"/>
                <w:sz w:val="24"/>
                <w:szCs w:val="24"/>
                <w:lang w:eastAsia="zh-CN"/>
              </w:rPr>
            </w:pPr>
            <w:r>
              <w:rPr>
                <w:rFonts w:ascii="Times New Roman" w:hAnsi="Times New Roman" w:cs="Times New Roman"/>
                <w:color w:val="auto"/>
                <w:spacing w:val="-8"/>
                <w:sz w:val="24"/>
                <w:szCs w:val="24"/>
                <w:lang w:eastAsia="zh-CN"/>
              </w:rPr>
              <w:t>发  包  人：</w:t>
            </w:r>
          </w:p>
          <w:p w14:paraId="6E78C1AA">
            <w:pPr>
              <w:pStyle w:val="39"/>
              <w:spacing w:before="17" w:line="219" w:lineRule="auto"/>
              <w:ind w:left="4110"/>
              <w:rPr>
                <w:rFonts w:ascii="Times New Roman" w:hAnsi="Times New Roman" w:cs="Times New Roman"/>
                <w:color w:val="auto"/>
                <w:sz w:val="24"/>
                <w:szCs w:val="24"/>
                <w:lang w:eastAsia="zh-CN"/>
              </w:rPr>
            </w:pPr>
            <w:r>
              <w:rPr>
                <w:rFonts w:ascii="Times New Roman" w:hAnsi="Times New Roman" w:cs="Times New Roman"/>
                <w:color w:val="auto"/>
                <w:spacing w:val="22"/>
                <w:sz w:val="24"/>
                <w:szCs w:val="24"/>
                <w:lang w:eastAsia="zh-CN"/>
              </w:rPr>
              <w:t>(单位盖章)</w:t>
            </w:r>
          </w:p>
          <w:p w14:paraId="7E4A66C5">
            <w:pPr>
              <w:spacing w:line="414" w:lineRule="auto"/>
              <w:rPr>
                <w:rFonts w:ascii="Times New Roman" w:hAnsi="Times New Roman" w:cs="Times New Roman"/>
                <w:color w:val="auto"/>
                <w:szCs w:val="24"/>
              </w:rPr>
            </w:pPr>
          </w:p>
          <w:p w14:paraId="491E0078">
            <w:pPr>
              <w:pStyle w:val="39"/>
              <w:spacing w:before="65" w:line="218" w:lineRule="auto"/>
              <w:ind w:left="1930"/>
              <w:rPr>
                <w:rFonts w:ascii="Times New Roman" w:hAnsi="Times New Roman" w:cs="Times New Roman"/>
                <w:color w:val="auto"/>
                <w:sz w:val="24"/>
                <w:szCs w:val="24"/>
                <w:lang w:eastAsia="zh-CN"/>
              </w:rPr>
            </w:pPr>
            <w:r>
              <w:rPr>
                <w:rFonts w:ascii="Times New Roman" w:hAnsi="Times New Roman" w:cs="Times New Roman"/>
                <w:color w:val="auto"/>
                <w:spacing w:val="28"/>
                <w:sz w:val="24"/>
                <w:szCs w:val="24"/>
                <w:lang w:eastAsia="zh-CN"/>
              </w:rPr>
              <w:t>造价咨询人：</w:t>
            </w:r>
          </w:p>
          <w:p w14:paraId="30779D83">
            <w:pPr>
              <w:spacing w:line="416" w:lineRule="auto"/>
              <w:rPr>
                <w:rFonts w:ascii="Times New Roman" w:hAnsi="Times New Roman" w:cs="Times New Roman"/>
                <w:color w:val="auto"/>
                <w:szCs w:val="24"/>
              </w:rPr>
            </w:pPr>
          </w:p>
          <w:p w14:paraId="765923CA">
            <w:pPr>
              <w:pStyle w:val="39"/>
              <w:spacing w:before="66" w:line="219" w:lineRule="auto"/>
              <w:ind w:left="4110"/>
              <w:rPr>
                <w:rFonts w:ascii="Times New Roman" w:hAnsi="Times New Roman" w:cs="Times New Roman"/>
                <w:color w:val="auto"/>
                <w:sz w:val="24"/>
                <w:szCs w:val="24"/>
                <w:lang w:eastAsia="zh-CN"/>
              </w:rPr>
            </w:pPr>
            <w:r>
              <w:rPr>
                <w:rFonts w:ascii="Times New Roman" w:hAnsi="Times New Roman" w:cs="Times New Roman"/>
                <w:color w:val="auto"/>
                <w:spacing w:val="22"/>
                <w:sz w:val="24"/>
                <w:szCs w:val="24"/>
                <w:lang w:eastAsia="zh-CN"/>
              </w:rPr>
              <w:t>(单位盖章)</w:t>
            </w:r>
          </w:p>
          <w:p w14:paraId="57A08097">
            <w:pPr>
              <w:spacing w:line="263" w:lineRule="auto"/>
              <w:rPr>
                <w:rFonts w:ascii="Times New Roman" w:hAnsi="Times New Roman" w:cs="Times New Roman"/>
                <w:color w:val="auto"/>
                <w:szCs w:val="24"/>
              </w:rPr>
            </w:pPr>
          </w:p>
          <w:p w14:paraId="71441287">
            <w:pPr>
              <w:spacing w:line="263" w:lineRule="auto"/>
              <w:rPr>
                <w:rFonts w:ascii="Times New Roman" w:hAnsi="Times New Roman" w:cs="Times New Roman"/>
                <w:color w:val="auto"/>
                <w:sz w:val="21"/>
              </w:rPr>
            </w:pPr>
          </w:p>
          <w:p w14:paraId="19DA21F6">
            <w:pPr>
              <w:spacing w:line="263" w:lineRule="auto"/>
              <w:rPr>
                <w:rFonts w:ascii="Times New Roman" w:hAnsi="Times New Roman" w:cs="Times New Roman"/>
                <w:color w:val="auto"/>
                <w:sz w:val="21"/>
              </w:rPr>
            </w:pPr>
          </w:p>
          <w:p w14:paraId="060E385B">
            <w:pPr>
              <w:spacing w:line="263" w:lineRule="auto"/>
              <w:rPr>
                <w:rFonts w:ascii="Times New Roman" w:hAnsi="Times New Roman" w:cs="Times New Roman"/>
                <w:color w:val="auto"/>
                <w:sz w:val="21"/>
              </w:rPr>
            </w:pPr>
          </w:p>
          <w:p w14:paraId="76D15F08">
            <w:pPr>
              <w:spacing w:line="263" w:lineRule="auto"/>
              <w:rPr>
                <w:rFonts w:ascii="Times New Roman" w:hAnsi="Times New Roman" w:cs="Times New Roman"/>
                <w:color w:val="auto"/>
                <w:sz w:val="21"/>
              </w:rPr>
            </w:pPr>
          </w:p>
          <w:p w14:paraId="0178A94D">
            <w:pPr>
              <w:spacing w:line="264" w:lineRule="auto"/>
              <w:rPr>
                <w:rFonts w:ascii="Times New Roman" w:hAnsi="Times New Roman" w:cs="Times New Roman"/>
                <w:color w:val="auto"/>
                <w:sz w:val="21"/>
              </w:rPr>
            </w:pPr>
          </w:p>
          <w:p w14:paraId="7F7CE448">
            <w:pPr>
              <w:pStyle w:val="39"/>
              <w:spacing w:before="65" w:line="219" w:lineRule="auto"/>
              <w:ind w:left="3710"/>
              <w:rPr>
                <w:rFonts w:ascii="Times New Roman" w:hAnsi="Times New Roman" w:cs="Times New Roman"/>
                <w:color w:val="auto"/>
                <w:sz w:val="20"/>
                <w:szCs w:val="20"/>
              </w:rPr>
            </w:pPr>
            <w:r>
              <w:rPr>
                <w:rFonts w:ascii="Times New Roman" w:hAnsi="Times New Roman" w:cs="Times New Roman"/>
                <w:color w:val="auto"/>
                <w:spacing w:val="-8"/>
                <w:sz w:val="20"/>
                <w:szCs w:val="20"/>
              </w:rPr>
              <w:t>年</w:t>
            </w:r>
            <w:r>
              <w:rPr>
                <w:rFonts w:ascii="Times New Roman" w:hAnsi="Times New Roman" w:cs="Times New Roman"/>
                <w:color w:val="auto"/>
                <w:spacing w:val="6"/>
                <w:sz w:val="20"/>
                <w:szCs w:val="20"/>
              </w:rPr>
              <w:t xml:space="preserve">      </w:t>
            </w:r>
            <w:r>
              <w:rPr>
                <w:rFonts w:ascii="Times New Roman" w:hAnsi="Times New Roman" w:cs="Times New Roman"/>
                <w:color w:val="auto"/>
                <w:spacing w:val="-8"/>
                <w:sz w:val="20"/>
                <w:szCs w:val="20"/>
              </w:rPr>
              <w:t>月</w:t>
            </w:r>
            <w:r>
              <w:rPr>
                <w:rFonts w:ascii="Times New Roman" w:hAnsi="Times New Roman" w:cs="Times New Roman"/>
                <w:color w:val="auto"/>
                <w:spacing w:val="6"/>
                <w:sz w:val="20"/>
                <w:szCs w:val="20"/>
              </w:rPr>
              <w:t xml:space="preserve">      </w:t>
            </w:r>
            <w:r>
              <w:rPr>
                <w:rFonts w:ascii="Times New Roman" w:hAnsi="Times New Roman" w:cs="Times New Roman"/>
                <w:color w:val="auto"/>
                <w:spacing w:val="-8"/>
                <w:sz w:val="20"/>
                <w:szCs w:val="20"/>
              </w:rPr>
              <w:t>日</w:t>
            </w:r>
          </w:p>
        </w:tc>
      </w:tr>
    </w:tbl>
    <w:p w14:paraId="0407E294">
      <w:pPr>
        <w:pStyle w:val="8"/>
        <w:rPr>
          <w:rFonts w:cs="Times New Roman"/>
          <w:color w:val="auto"/>
        </w:rPr>
      </w:pPr>
    </w:p>
    <w:p w14:paraId="049D0113">
      <w:pPr>
        <w:rPr>
          <w:rFonts w:ascii="Times New Roman" w:hAnsi="Times New Roman" w:cs="Times New Roman"/>
          <w:color w:val="auto"/>
        </w:rPr>
        <w:sectPr>
          <w:footerReference r:id="rId17" w:type="default"/>
          <w:pgSz w:w="11910" w:h="16840"/>
          <w:pgMar w:top="1440" w:right="1080" w:bottom="1440" w:left="1080" w:header="0" w:footer="681" w:gutter="0"/>
          <w:cols w:space="720" w:num="1"/>
        </w:sectPr>
      </w:pPr>
    </w:p>
    <w:p w14:paraId="546B7EDA">
      <w:pPr>
        <w:spacing w:before="88" w:line="219" w:lineRule="auto"/>
        <w:rPr>
          <w:rFonts w:ascii="Times New Roman" w:hAnsi="Times New Roman" w:eastAsia="宋体" w:cs="Times New Roman"/>
          <w:color w:val="auto"/>
          <w:sz w:val="27"/>
          <w:szCs w:val="27"/>
        </w:rPr>
      </w:pPr>
      <w:r>
        <w:rPr>
          <w:rFonts w:ascii="Times New Roman" w:hAnsi="Times New Roman" w:eastAsia="宋体" w:cs="Times New Roman"/>
          <w:b/>
          <w:bCs/>
          <w:color w:val="auto"/>
          <w:spacing w:val="3"/>
          <w:sz w:val="27"/>
          <w:szCs w:val="27"/>
        </w:rPr>
        <w:t>附件2:</w:t>
      </w:r>
    </w:p>
    <w:p w14:paraId="260AD550">
      <w:pPr>
        <w:pStyle w:val="8"/>
        <w:spacing w:line="243" w:lineRule="auto"/>
        <w:rPr>
          <w:rFonts w:cs="Times New Roman"/>
          <w:color w:val="auto"/>
        </w:rPr>
      </w:pPr>
    </w:p>
    <w:p w14:paraId="743B12A9">
      <w:pPr>
        <w:pStyle w:val="8"/>
        <w:spacing w:line="244" w:lineRule="auto"/>
        <w:ind w:left="0"/>
        <w:rPr>
          <w:rFonts w:cs="Times New Roman"/>
          <w:color w:val="auto"/>
        </w:rPr>
      </w:pPr>
    </w:p>
    <w:p w14:paraId="71EAB958">
      <w:pPr>
        <w:spacing w:before="78" w:line="220" w:lineRule="auto"/>
        <w:ind w:left="3755"/>
        <w:rPr>
          <w:rFonts w:ascii="Times New Roman" w:hAnsi="Times New Roman" w:eastAsia="宋体" w:cs="Times New Roman"/>
          <w:color w:val="auto"/>
          <w:szCs w:val="24"/>
        </w:rPr>
      </w:pPr>
      <w:r>
        <w:rPr>
          <w:rFonts w:ascii="Times New Roman" w:hAnsi="Times New Roman" w:eastAsia="宋体" w:cs="Times New Roman"/>
          <w:color w:val="auto"/>
          <w:spacing w:val="-2"/>
          <w:szCs w:val="24"/>
        </w:rPr>
        <w:t>发包工程量清单扉页</w:t>
      </w:r>
    </w:p>
    <w:p w14:paraId="03EA1C1B">
      <w:pPr>
        <w:spacing w:before="6"/>
        <w:rPr>
          <w:rFonts w:ascii="Times New Roman" w:hAnsi="Times New Roman" w:cs="Times New Roman"/>
          <w:color w:val="auto"/>
        </w:rPr>
      </w:pPr>
    </w:p>
    <w:tbl>
      <w:tblPr>
        <w:tblStyle w:val="29"/>
        <w:tblW w:w="92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8"/>
        <w:gridCol w:w="5022"/>
      </w:tblGrid>
      <w:tr w14:paraId="29589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6" w:hRule="atLeast"/>
        </w:trPr>
        <w:tc>
          <w:tcPr>
            <w:tcW w:w="9270" w:type="dxa"/>
            <w:gridSpan w:val="2"/>
            <w:tcBorders>
              <w:bottom w:val="nil"/>
            </w:tcBorders>
          </w:tcPr>
          <w:p w14:paraId="6145D82D">
            <w:pPr>
              <w:spacing w:line="244" w:lineRule="auto"/>
              <w:rPr>
                <w:rFonts w:ascii="Times New Roman" w:hAnsi="Times New Roman" w:cs="Times New Roman"/>
                <w:color w:val="auto"/>
                <w:sz w:val="21"/>
              </w:rPr>
            </w:pPr>
          </w:p>
          <w:p w14:paraId="2709D719">
            <w:pPr>
              <w:spacing w:line="244" w:lineRule="auto"/>
              <w:rPr>
                <w:rFonts w:ascii="Times New Roman" w:hAnsi="Times New Roman" w:cs="Times New Roman"/>
                <w:color w:val="auto"/>
                <w:sz w:val="21"/>
              </w:rPr>
            </w:pPr>
          </w:p>
          <w:p w14:paraId="0933E932">
            <w:pPr>
              <w:spacing w:line="245" w:lineRule="auto"/>
              <w:rPr>
                <w:rFonts w:ascii="Times New Roman" w:hAnsi="Times New Roman" w:cs="Times New Roman"/>
                <w:color w:val="auto"/>
                <w:sz w:val="21"/>
              </w:rPr>
            </w:pPr>
          </w:p>
          <w:p w14:paraId="78B75343">
            <w:pPr>
              <w:spacing w:line="245" w:lineRule="auto"/>
              <w:rPr>
                <w:rFonts w:ascii="Times New Roman" w:hAnsi="Times New Roman" w:cs="Times New Roman"/>
                <w:color w:val="auto"/>
                <w:sz w:val="21"/>
              </w:rPr>
            </w:pPr>
          </w:p>
          <w:p w14:paraId="2470927C">
            <w:pPr>
              <w:pStyle w:val="39"/>
              <w:tabs>
                <w:tab w:val="left" w:pos="8055"/>
              </w:tabs>
              <w:spacing w:before="82" w:line="220" w:lineRule="auto"/>
              <w:ind w:left="4455"/>
              <w:rPr>
                <w:rFonts w:ascii="Times New Roman" w:hAnsi="Times New Roman" w:cs="Times New Roman"/>
                <w:color w:val="auto"/>
                <w:sz w:val="25"/>
                <w:szCs w:val="25"/>
              </w:rPr>
            </w:pPr>
            <w:r>
              <w:rPr>
                <w:rFonts w:ascii="Times New Roman" w:hAnsi="Times New Roman" w:cs="Times New Roman"/>
                <w:color w:val="auto"/>
                <w:sz w:val="25"/>
                <w:szCs w:val="25"/>
                <w:u w:val="single"/>
              </w:rPr>
              <w:tab/>
            </w:r>
            <w:r>
              <w:rPr>
                <w:rFonts w:ascii="Times New Roman" w:hAnsi="Times New Roman" w:cs="Times New Roman"/>
                <w:color w:val="auto"/>
                <w:spacing w:val="-5"/>
                <w:sz w:val="25"/>
                <w:szCs w:val="25"/>
                <w:u w:val="single"/>
              </w:rPr>
              <w:t xml:space="preserve"> </w:t>
            </w:r>
            <w:r>
              <w:rPr>
                <w:rFonts w:ascii="Times New Roman" w:hAnsi="Times New Roman" w:cs="Times New Roman"/>
                <w:color w:val="auto"/>
                <w:spacing w:val="4"/>
                <w:sz w:val="25"/>
                <w:szCs w:val="25"/>
              </w:rPr>
              <w:t>工程</w:t>
            </w:r>
          </w:p>
          <w:p w14:paraId="1F2DE6DD">
            <w:pPr>
              <w:spacing w:line="241" w:lineRule="auto"/>
              <w:rPr>
                <w:rFonts w:ascii="Times New Roman" w:hAnsi="Times New Roman" w:cs="Times New Roman"/>
                <w:color w:val="auto"/>
                <w:sz w:val="21"/>
              </w:rPr>
            </w:pPr>
          </w:p>
          <w:p w14:paraId="6EC2165C">
            <w:pPr>
              <w:spacing w:line="241" w:lineRule="auto"/>
              <w:rPr>
                <w:rFonts w:ascii="Times New Roman" w:hAnsi="Times New Roman" w:cs="Times New Roman"/>
                <w:color w:val="auto"/>
                <w:sz w:val="21"/>
              </w:rPr>
            </w:pPr>
          </w:p>
          <w:p w14:paraId="78E85FA3">
            <w:pPr>
              <w:spacing w:line="241" w:lineRule="auto"/>
              <w:rPr>
                <w:rFonts w:ascii="Times New Roman" w:hAnsi="Times New Roman" w:cs="Times New Roman"/>
                <w:color w:val="auto"/>
                <w:sz w:val="21"/>
              </w:rPr>
            </w:pPr>
          </w:p>
          <w:p w14:paraId="3C4D5DE2">
            <w:pPr>
              <w:spacing w:line="241" w:lineRule="auto"/>
              <w:rPr>
                <w:rFonts w:ascii="Times New Roman" w:hAnsi="Times New Roman" w:cs="Times New Roman"/>
                <w:color w:val="auto"/>
                <w:sz w:val="21"/>
              </w:rPr>
            </w:pPr>
          </w:p>
          <w:p w14:paraId="505F2936">
            <w:pPr>
              <w:pStyle w:val="39"/>
              <w:spacing w:before="82" w:line="220" w:lineRule="auto"/>
              <w:ind w:left="3275"/>
              <w:rPr>
                <w:rFonts w:ascii="Times New Roman" w:hAnsi="Times New Roman" w:cs="Times New Roman"/>
                <w:color w:val="auto"/>
                <w:sz w:val="25"/>
                <w:szCs w:val="25"/>
              </w:rPr>
            </w:pPr>
            <w:r>
              <w:rPr>
                <w:rFonts w:ascii="Times New Roman" w:hAnsi="Times New Roman" w:cs="Times New Roman"/>
                <w:color w:val="auto"/>
                <w:spacing w:val="53"/>
                <w:sz w:val="25"/>
                <w:szCs w:val="25"/>
                <w:lang w:eastAsia="zh-CN"/>
              </w:rPr>
              <w:t>发包</w:t>
            </w:r>
            <w:r>
              <w:rPr>
                <w:rFonts w:ascii="Times New Roman" w:hAnsi="Times New Roman" w:cs="Times New Roman"/>
                <w:color w:val="auto"/>
                <w:spacing w:val="53"/>
                <w:sz w:val="25"/>
                <w:szCs w:val="25"/>
              </w:rPr>
              <w:t xml:space="preserve"> </w:t>
            </w:r>
            <w:r>
              <w:rPr>
                <w:rFonts w:ascii="Times New Roman" w:hAnsi="Times New Roman" w:cs="Times New Roman"/>
                <w:color w:val="auto"/>
                <w:spacing w:val="-9"/>
                <w:sz w:val="25"/>
                <w:szCs w:val="25"/>
              </w:rPr>
              <w:t>工</w:t>
            </w:r>
            <w:r>
              <w:rPr>
                <w:rFonts w:ascii="Times New Roman" w:hAnsi="Times New Roman" w:cs="Times New Roman"/>
                <w:color w:val="auto"/>
                <w:spacing w:val="49"/>
                <w:sz w:val="25"/>
                <w:szCs w:val="25"/>
              </w:rPr>
              <w:t xml:space="preserve"> </w:t>
            </w:r>
            <w:r>
              <w:rPr>
                <w:rFonts w:ascii="Times New Roman" w:hAnsi="Times New Roman" w:cs="Times New Roman"/>
                <w:color w:val="auto"/>
                <w:spacing w:val="-9"/>
                <w:sz w:val="25"/>
                <w:szCs w:val="25"/>
              </w:rPr>
              <w:t>程</w:t>
            </w:r>
            <w:r>
              <w:rPr>
                <w:rFonts w:ascii="Times New Roman" w:hAnsi="Times New Roman" w:cs="Times New Roman"/>
                <w:color w:val="auto"/>
                <w:spacing w:val="50"/>
                <w:sz w:val="25"/>
                <w:szCs w:val="25"/>
              </w:rPr>
              <w:t xml:space="preserve"> </w:t>
            </w:r>
            <w:r>
              <w:rPr>
                <w:rFonts w:ascii="Times New Roman" w:hAnsi="Times New Roman" w:cs="Times New Roman"/>
                <w:color w:val="auto"/>
                <w:spacing w:val="-9"/>
                <w:sz w:val="25"/>
                <w:szCs w:val="25"/>
              </w:rPr>
              <w:t>量</w:t>
            </w:r>
            <w:r>
              <w:rPr>
                <w:rFonts w:ascii="Times New Roman" w:hAnsi="Times New Roman" w:cs="Times New Roman"/>
                <w:color w:val="auto"/>
                <w:spacing w:val="50"/>
                <w:sz w:val="25"/>
                <w:szCs w:val="25"/>
              </w:rPr>
              <w:t xml:space="preserve"> </w:t>
            </w:r>
            <w:r>
              <w:rPr>
                <w:rFonts w:ascii="Times New Roman" w:hAnsi="Times New Roman" w:cs="Times New Roman"/>
                <w:color w:val="auto"/>
                <w:spacing w:val="-9"/>
                <w:sz w:val="25"/>
                <w:szCs w:val="25"/>
              </w:rPr>
              <w:t>清</w:t>
            </w:r>
            <w:r>
              <w:rPr>
                <w:rFonts w:ascii="Times New Roman" w:hAnsi="Times New Roman" w:cs="Times New Roman"/>
                <w:color w:val="auto"/>
                <w:spacing w:val="52"/>
                <w:sz w:val="25"/>
                <w:szCs w:val="25"/>
              </w:rPr>
              <w:t xml:space="preserve"> </w:t>
            </w:r>
            <w:r>
              <w:rPr>
                <w:rFonts w:ascii="Times New Roman" w:hAnsi="Times New Roman" w:cs="Times New Roman"/>
                <w:color w:val="auto"/>
                <w:spacing w:val="-9"/>
                <w:sz w:val="25"/>
                <w:szCs w:val="25"/>
              </w:rPr>
              <w:t>单</w:t>
            </w:r>
          </w:p>
        </w:tc>
      </w:tr>
      <w:tr w14:paraId="20C5B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6" w:hRule="atLeast"/>
        </w:trPr>
        <w:tc>
          <w:tcPr>
            <w:tcW w:w="4248" w:type="dxa"/>
            <w:tcBorders>
              <w:top w:val="nil"/>
              <w:bottom w:val="nil"/>
              <w:right w:val="nil"/>
            </w:tcBorders>
          </w:tcPr>
          <w:p w14:paraId="6DC49DAE">
            <w:pPr>
              <w:spacing w:line="251" w:lineRule="auto"/>
              <w:rPr>
                <w:rFonts w:ascii="Times New Roman" w:hAnsi="Times New Roman" w:cs="Times New Roman"/>
                <w:color w:val="auto"/>
                <w:sz w:val="21"/>
              </w:rPr>
            </w:pPr>
          </w:p>
          <w:p w14:paraId="62DF41A4">
            <w:pPr>
              <w:spacing w:line="253" w:lineRule="auto"/>
              <w:rPr>
                <w:rFonts w:ascii="Times New Roman" w:hAnsi="Times New Roman" w:cs="Times New Roman"/>
                <w:color w:val="auto"/>
                <w:sz w:val="21"/>
              </w:rPr>
            </w:pPr>
          </w:p>
          <w:p w14:paraId="701C062F">
            <w:pPr>
              <w:pStyle w:val="39"/>
              <w:spacing w:before="81" w:line="220" w:lineRule="auto"/>
              <w:ind w:left="95"/>
              <w:rPr>
                <w:rFonts w:ascii="Times New Roman" w:hAnsi="Times New Roman" w:cs="Times New Roman"/>
                <w:color w:val="auto"/>
                <w:sz w:val="25"/>
                <w:szCs w:val="25"/>
                <w:lang w:eastAsia="zh-CN"/>
              </w:rPr>
            </w:pPr>
            <w:r>
              <w:rPr>
                <w:rFonts w:ascii="Times New Roman" w:hAnsi="Times New Roman" w:cs="Times New Roman"/>
                <w:color w:val="auto"/>
                <w:spacing w:val="37"/>
                <w:sz w:val="25"/>
                <w:szCs w:val="25"/>
                <w:lang w:eastAsia="zh-CN"/>
              </w:rPr>
              <w:t xml:space="preserve">发 包 </w:t>
            </w:r>
            <w:r>
              <w:rPr>
                <w:rFonts w:ascii="Times New Roman" w:hAnsi="Times New Roman" w:cs="Times New Roman"/>
                <w:color w:val="auto"/>
                <w:spacing w:val="-13"/>
                <w:sz w:val="25"/>
                <w:szCs w:val="25"/>
                <w:lang w:eastAsia="zh-CN"/>
              </w:rPr>
              <w:t>人：</w:t>
            </w:r>
          </w:p>
          <w:p w14:paraId="52EF17DC">
            <w:pPr>
              <w:pStyle w:val="39"/>
              <w:spacing w:before="139" w:line="219" w:lineRule="auto"/>
              <w:ind w:left="1665"/>
              <w:rPr>
                <w:rFonts w:ascii="Times New Roman" w:hAnsi="Times New Roman" w:cs="Times New Roman"/>
                <w:color w:val="auto"/>
                <w:sz w:val="25"/>
                <w:szCs w:val="25"/>
                <w:lang w:eastAsia="zh-CN"/>
              </w:rPr>
            </w:pPr>
            <w:r>
              <w:rPr>
                <w:rFonts w:ascii="Times New Roman" w:hAnsi="Times New Roman" w:cs="Times New Roman"/>
                <w:color w:val="auto"/>
                <w:spacing w:val="9"/>
                <w:sz w:val="25"/>
                <w:szCs w:val="25"/>
                <w:lang w:eastAsia="zh-CN"/>
              </w:rPr>
              <w:t>(单位盖章)</w:t>
            </w:r>
          </w:p>
          <w:p w14:paraId="0100CF9C">
            <w:pPr>
              <w:spacing w:line="309" w:lineRule="auto"/>
              <w:rPr>
                <w:rFonts w:ascii="Times New Roman" w:hAnsi="Times New Roman" w:cs="Times New Roman"/>
                <w:color w:val="auto"/>
                <w:sz w:val="21"/>
              </w:rPr>
            </w:pPr>
          </w:p>
          <w:p w14:paraId="19881F77">
            <w:pPr>
              <w:spacing w:line="309" w:lineRule="auto"/>
              <w:rPr>
                <w:rFonts w:ascii="Times New Roman" w:hAnsi="Times New Roman" w:cs="Times New Roman"/>
                <w:color w:val="auto"/>
                <w:sz w:val="21"/>
              </w:rPr>
            </w:pPr>
          </w:p>
          <w:p w14:paraId="442DDA33">
            <w:pPr>
              <w:spacing w:line="309" w:lineRule="auto"/>
              <w:rPr>
                <w:rFonts w:ascii="Times New Roman" w:hAnsi="Times New Roman" w:cs="Times New Roman"/>
                <w:color w:val="auto"/>
                <w:sz w:val="21"/>
              </w:rPr>
            </w:pPr>
          </w:p>
          <w:p w14:paraId="4F3663DA">
            <w:pPr>
              <w:pStyle w:val="39"/>
              <w:spacing w:before="82" w:line="319" w:lineRule="auto"/>
              <w:ind w:left="115" w:right="2632" w:hanging="10"/>
              <w:rPr>
                <w:rFonts w:ascii="Times New Roman" w:hAnsi="Times New Roman" w:cs="Times New Roman"/>
                <w:color w:val="auto"/>
                <w:sz w:val="25"/>
                <w:szCs w:val="25"/>
                <w:lang w:eastAsia="zh-CN"/>
              </w:rPr>
            </w:pPr>
            <w:r>
              <w:rPr>
                <w:rFonts w:ascii="Times New Roman" w:hAnsi="Times New Roman" w:cs="Times New Roman"/>
                <w:color w:val="auto"/>
                <w:spacing w:val="2"/>
                <w:sz w:val="25"/>
                <w:szCs w:val="25"/>
                <w:lang w:eastAsia="zh-CN"/>
              </w:rPr>
              <w:t>法定代表人</w:t>
            </w:r>
            <w:r>
              <w:rPr>
                <w:rFonts w:ascii="Times New Roman" w:hAnsi="Times New Roman" w:cs="Times New Roman"/>
                <w:color w:val="auto"/>
                <w:sz w:val="25"/>
                <w:szCs w:val="25"/>
                <w:lang w:eastAsia="zh-CN"/>
              </w:rPr>
              <w:t xml:space="preserve">   </w:t>
            </w:r>
            <w:r>
              <w:rPr>
                <w:rFonts w:ascii="Times New Roman" w:hAnsi="Times New Roman" w:cs="Times New Roman"/>
                <w:color w:val="auto"/>
                <w:spacing w:val="-1"/>
                <w:sz w:val="25"/>
                <w:szCs w:val="25"/>
                <w:lang w:eastAsia="zh-CN"/>
              </w:rPr>
              <w:t>或其授权人：</w:t>
            </w:r>
          </w:p>
          <w:p w14:paraId="39F0C5F1">
            <w:pPr>
              <w:pStyle w:val="39"/>
              <w:spacing w:before="4" w:line="219" w:lineRule="auto"/>
              <w:ind w:left="1665"/>
              <w:rPr>
                <w:rFonts w:ascii="Times New Roman" w:hAnsi="Times New Roman" w:cs="Times New Roman"/>
                <w:color w:val="auto"/>
                <w:sz w:val="25"/>
                <w:szCs w:val="25"/>
              </w:rPr>
            </w:pPr>
            <w:r>
              <w:rPr>
                <w:rFonts w:ascii="Times New Roman" w:hAnsi="Times New Roman" w:cs="Times New Roman"/>
                <w:color w:val="auto"/>
                <w:spacing w:val="7"/>
                <w:sz w:val="25"/>
                <w:szCs w:val="25"/>
              </w:rPr>
              <w:t>(签字或盖章)</w:t>
            </w:r>
          </w:p>
        </w:tc>
        <w:tc>
          <w:tcPr>
            <w:tcW w:w="5022" w:type="dxa"/>
            <w:tcBorders>
              <w:top w:val="nil"/>
              <w:left w:val="nil"/>
              <w:bottom w:val="nil"/>
            </w:tcBorders>
          </w:tcPr>
          <w:p w14:paraId="6EA3E675">
            <w:pPr>
              <w:spacing w:line="251" w:lineRule="auto"/>
              <w:rPr>
                <w:rFonts w:ascii="Times New Roman" w:hAnsi="Times New Roman" w:cs="Times New Roman"/>
                <w:color w:val="auto"/>
                <w:sz w:val="21"/>
              </w:rPr>
            </w:pPr>
          </w:p>
          <w:p w14:paraId="3FBDFCDE">
            <w:pPr>
              <w:spacing w:line="251" w:lineRule="auto"/>
              <w:rPr>
                <w:rFonts w:ascii="Times New Roman" w:hAnsi="Times New Roman" w:cs="Times New Roman"/>
                <w:color w:val="auto"/>
                <w:sz w:val="21"/>
              </w:rPr>
            </w:pPr>
          </w:p>
          <w:p w14:paraId="3FA7B973">
            <w:pPr>
              <w:pStyle w:val="39"/>
              <w:spacing w:before="82" w:line="218" w:lineRule="auto"/>
              <w:ind w:left="1022"/>
              <w:rPr>
                <w:rFonts w:ascii="Times New Roman" w:hAnsi="Times New Roman" w:cs="Times New Roman"/>
                <w:color w:val="auto"/>
                <w:sz w:val="25"/>
                <w:szCs w:val="25"/>
                <w:lang w:eastAsia="zh-CN"/>
              </w:rPr>
            </w:pPr>
            <w:r>
              <w:rPr>
                <w:rFonts w:ascii="Times New Roman" w:hAnsi="Times New Roman" w:cs="Times New Roman"/>
                <w:color w:val="auto"/>
                <w:spacing w:val="-1"/>
                <w:sz w:val="25"/>
                <w:szCs w:val="25"/>
                <w:lang w:eastAsia="zh-CN"/>
              </w:rPr>
              <w:t>造价咨询人：</w:t>
            </w:r>
          </w:p>
          <w:p w14:paraId="2A78467F">
            <w:pPr>
              <w:pStyle w:val="39"/>
              <w:spacing w:before="145" w:line="219" w:lineRule="auto"/>
              <w:ind w:left="2582"/>
              <w:rPr>
                <w:rFonts w:ascii="Times New Roman" w:hAnsi="Times New Roman" w:cs="Times New Roman"/>
                <w:color w:val="auto"/>
                <w:sz w:val="25"/>
                <w:szCs w:val="25"/>
                <w:lang w:eastAsia="zh-CN"/>
              </w:rPr>
            </w:pPr>
            <w:r>
              <w:rPr>
                <w:rFonts w:ascii="Times New Roman" w:hAnsi="Times New Roman" w:cs="Times New Roman"/>
                <w:color w:val="auto"/>
                <w:spacing w:val="9"/>
                <w:sz w:val="25"/>
                <w:szCs w:val="25"/>
                <w:lang w:eastAsia="zh-CN"/>
              </w:rPr>
              <w:t>(单位盖章)</w:t>
            </w:r>
          </w:p>
          <w:p w14:paraId="3D3C4715">
            <w:pPr>
              <w:spacing w:line="312" w:lineRule="auto"/>
              <w:rPr>
                <w:rFonts w:ascii="Times New Roman" w:hAnsi="Times New Roman" w:cs="Times New Roman"/>
                <w:color w:val="auto"/>
                <w:sz w:val="21"/>
              </w:rPr>
            </w:pPr>
          </w:p>
          <w:p w14:paraId="65528250">
            <w:pPr>
              <w:spacing w:line="313" w:lineRule="auto"/>
              <w:rPr>
                <w:rFonts w:ascii="Times New Roman" w:hAnsi="Times New Roman" w:cs="Times New Roman"/>
                <w:color w:val="auto"/>
                <w:sz w:val="21"/>
              </w:rPr>
            </w:pPr>
          </w:p>
          <w:p w14:paraId="0DA1B368">
            <w:pPr>
              <w:spacing w:line="313" w:lineRule="auto"/>
              <w:rPr>
                <w:rFonts w:ascii="Times New Roman" w:hAnsi="Times New Roman" w:cs="Times New Roman"/>
                <w:color w:val="auto"/>
                <w:sz w:val="21"/>
              </w:rPr>
            </w:pPr>
          </w:p>
          <w:p w14:paraId="4FBDCD49">
            <w:pPr>
              <w:pStyle w:val="39"/>
              <w:spacing w:before="81" w:line="304" w:lineRule="auto"/>
              <w:ind w:left="1512" w:right="2009" w:hanging="10"/>
              <w:rPr>
                <w:rFonts w:ascii="Times New Roman" w:hAnsi="Times New Roman" w:cs="Times New Roman"/>
                <w:color w:val="auto"/>
                <w:sz w:val="25"/>
                <w:szCs w:val="25"/>
                <w:lang w:eastAsia="zh-CN"/>
              </w:rPr>
            </w:pPr>
            <w:r>
              <w:rPr>
                <w:rFonts w:ascii="Times New Roman" w:hAnsi="Times New Roman" w:cs="Times New Roman"/>
                <w:color w:val="auto"/>
                <w:spacing w:val="2"/>
                <w:sz w:val="25"/>
                <w:szCs w:val="25"/>
                <w:lang w:eastAsia="zh-CN"/>
              </w:rPr>
              <w:t>法定代表人</w:t>
            </w:r>
            <w:r>
              <w:rPr>
                <w:rFonts w:ascii="Times New Roman" w:hAnsi="Times New Roman" w:cs="Times New Roman"/>
                <w:color w:val="auto"/>
                <w:sz w:val="25"/>
                <w:szCs w:val="25"/>
                <w:lang w:eastAsia="zh-CN"/>
              </w:rPr>
              <w:t xml:space="preserve">   </w:t>
            </w:r>
            <w:r>
              <w:rPr>
                <w:rFonts w:ascii="Times New Roman" w:hAnsi="Times New Roman" w:cs="Times New Roman"/>
                <w:color w:val="auto"/>
                <w:spacing w:val="-1"/>
                <w:sz w:val="25"/>
                <w:szCs w:val="25"/>
                <w:lang w:eastAsia="zh-CN"/>
              </w:rPr>
              <w:t>或其授权人：</w:t>
            </w:r>
          </w:p>
          <w:p w14:paraId="180A3E3D">
            <w:pPr>
              <w:pStyle w:val="39"/>
              <w:spacing w:before="34" w:line="219" w:lineRule="auto"/>
              <w:ind w:left="2702"/>
              <w:rPr>
                <w:rFonts w:ascii="Times New Roman" w:hAnsi="Times New Roman" w:cs="Times New Roman"/>
                <w:color w:val="auto"/>
                <w:sz w:val="25"/>
                <w:szCs w:val="25"/>
              </w:rPr>
            </w:pPr>
            <w:r>
              <w:rPr>
                <w:rFonts w:ascii="Times New Roman" w:hAnsi="Times New Roman" w:cs="Times New Roman"/>
                <w:color w:val="auto"/>
                <w:spacing w:val="7"/>
                <w:sz w:val="25"/>
                <w:szCs w:val="25"/>
              </w:rPr>
              <w:t>(签字或盖章)</w:t>
            </w:r>
          </w:p>
        </w:tc>
      </w:tr>
      <w:tr w14:paraId="02A99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9270" w:type="dxa"/>
            <w:gridSpan w:val="2"/>
            <w:tcBorders>
              <w:top w:val="nil"/>
            </w:tcBorders>
          </w:tcPr>
          <w:p w14:paraId="42219A78">
            <w:pPr>
              <w:spacing w:line="459" w:lineRule="auto"/>
              <w:rPr>
                <w:rFonts w:ascii="Times New Roman" w:hAnsi="Times New Roman" w:cs="Times New Roman"/>
                <w:color w:val="auto"/>
                <w:sz w:val="21"/>
              </w:rPr>
            </w:pPr>
          </w:p>
          <w:p w14:paraId="75F4DAB0">
            <w:pPr>
              <w:pStyle w:val="39"/>
              <w:spacing w:before="82" w:line="226" w:lineRule="auto"/>
              <w:ind w:left="105"/>
              <w:rPr>
                <w:rFonts w:ascii="Times New Roman" w:hAnsi="Times New Roman" w:cs="Times New Roman"/>
                <w:color w:val="auto"/>
                <w:sz w:val="25"/>
                <w:szCs w:val="25"/>
                <w:lang w:eastAsia="zh-CN"/>
              </w:rPr>
            </w:pPr>
            <w:r>
              <w:rPr>
                <w:rFonts w:ascii="Times New Roman" w:hAnsi="Times New Roman" w:cs="Times New Roman"/>
                <w:color w:val="auto"/>
                <w:spacing w:val="-6"/>
                <w:sz w:val="25"/>
                <w:szCs w:val="25"/>
                <w:lang w:eastAsia="zh-CN"/>
              </w:rPr>
              <w:t>编</w:t>
            </w:r>
            <w:r>
              <w:rPr>
                <w:rFonts w:ascii="Times New Roman" w:hAnsi="Times New Roman" w:cs="Times New Roman"/>
                <w:color w:val="auto"/>
                <w:spacing w:val="20"/>
                <w:sz w:val="25"/>
                <w:szCs w:val="25"/>
                <w:lang w:eastAsia="zh-CN"/>
              </w:rPr>
              <w:t xml:space="preserve">  </w:t>
            </w:r>
            <w:r>
              <w:rPr>
                <w:rFonts w:ascii="Times New Roman" w:hAnsi="Times New Roman" w:cs="Times New Roman"/>
                <w:color w:val="auto"/>
                <w:spacing w:val="-6"/>
                <w:sz w:val="25"/>
                <w:szCs w:val="25"/>
                <w:lang w:eastAsia="zh-CN"/>
              </w:rPr>
              <w:t>制</w:t>
            </w:r>
            <w:r>
              <w:rPr>
                <w:rFonts w:ascii="Times New Roman" w:hAnsi="Times New Roman" w:cs="Times New Roman"/>
                <w:color w:val="auto"/>
                <w:spacing w:val="20"/>
                <w:sz w:val="25"/>
                <w:szCs w:val="25"/>
                <w:lang w:eastAsia="zh-CN"/>
              </w:rPr>
              <w:t xml:space="preserve">  </w:t>
            </w:r>
            <w:r>
              <w:rPr>
                <w:rFonts w:ascii="Times New Roman" w:hAnsi="Times New Roman" w:cs="Times New Roman"/>
                <w:color w:val="auto"/>
                <w:spacing w:val="-6"/>
                <w:sz w:val="25"/>
                <w:szCs w:val="25"/>
                <w:lang w:eastAsia="zh-CN"/>
              </w:rPr>
              <w:t>人：                               复</w:t>
            </w:r>
            <w:r>
              <w:rPr>
                <w:rFonts w:ascii="Times New Roman" w:hAnsi="Times New Roman" w:cs="Times New Roman"/>
                <w:color w:val="auto"/>
                <w:spacing w:val="41"/>
                <w:sz w:val="25"/>
                <w:szCs w:val="25"/>
                <w:lang w:eastAsia="zh-CN"/>
              </w:rPr>
              <w:t xml:space="preserve"> </w:t>
            </w:r>
            <w:r>
              <w:rPr>
                <w:rFonts w:ascii="Times New Roman" w:hAnsi="Times New Roman" w:cs="Times New Roman"/>
                <w:color w:val="auto"/>
                <w:spacing w:val="-6"/>
                <w:sz w:val="25"/>
                <w:szCs w:val="25"/>
                <w:lang w:eastAsia="zh-CN"/>
              </w:rPr>
              <w:t>核</w:t>
            </w:r>
            <w:r>
              <w:rPr>
                <w:rFonts w:ascii="Times New Roman" w:hAnsi="Times New Roman" w:cs="Times New Roman"/>
                <w:color w:val="auto"/>
                <w:spacing w:val="39"/>
                <w:sz w:val="25"/>
                <w:szCs w:val="25"/>
                <w:lang w:eastAsia="zh-CN"/>
              </w:rPr>
              <w:t xml:space="preserve"> </w:t>
            </w:r>
            <w:r>
              <w:rPr>
                <w:rFonts w:ascii="Times New Roman" w:hAnsi="Times New Roman" w:cs="Times New Roman"/>
                <w:color w:val="auto"/>
                <w:spacing w:val="-6"/>
                <w:sz w:val="25"/>
                <w:szCs w:val="25"/>
                <w:lang w:eastAsia="zh-CN"/>
              </w:rPr>
              <w:t>人：</w:t>
            </w:r>
          </w:p>
          <w:p w14:paraId="47DB1609">
            <w:pPr>
              <w:pStyle w:val="39"/>
              <w:spacing w:before="131" w:line="225" w:lineRule="auto"/>
              <w:ind w:left="1205"/>
              <w:rPr>
                <w:rFonts w:ascii="Times New Roman" w:hAnsi="Times New Roman" w:cs="Times New Roman"/>
                <w:color w:val="auto"/>
                <w:sz w:val="25"/>
                <w:szCs w:val="25"/>
                <w:lang w:eastAsia="zh-CN"/>
              </w:rPr>
            </w:pPr>
            <w:r>
              <w:rPr>
                <w:rFonts w:ascii="Times New Roman" w:hAnsi="Times New Roman" w:cs="Times New Roman"/>
                <w:color w:val="auto"/>
                <w:spacing w:val="5"/>
                <w:sz w:val="25"/>
                <w:szCs w:val="25"/>
                <w:lang w:eastAsia="zh-CN"/>
              </w:rPr>
              <w:t>(造价工程师签字盖专用章)              (造价工程师签字盖专用章)</w:t>
            </w:r>
          </w:p>
          <w:p w14:paraId="5C45869B">
            <w:pPr>
              <w:spacing w:line="260" w:lineRule="auto"/>
              <w:rPr>
                <w:rFonts w:ascii="Times New Roman" w:hAnsi="Times New Roman" w:cs="Times New Roman"/>
                <w:color w:val="auto"/>
                <w:sz w:val="21"/>
              </w:rPr>
            </w:pPr>
          </w:p>
          <w:p w14:paraId="271CBB2D">
            <w:pPr>
              <w:spacing w:line="260" w:lineRule="auto"/>
              <w:rPr>
                <w:rFonts w:ascii="Times New Roman" w:hAnsi="Times New Roman" w:cs="Times New Roman"/>
                <w:color w:val="auto"/>
                <w:sz w:val="21"/>
              </w:rPr>
            </w:pPr>
          </w:p>
          <w:p w14:paraId="4AF9C3EC">
            <w:pPr>
              <w:spacing w:line="261" w:lineRule="auto"/>
              <w:rPr>
                <w:rFonts w:ascii="Times New Roman" w:hAnsi="Times New Roman" w:cs="Times New Roman"/>
                <w:color w:val="auto"/>
                <w:sz w:val="21"/>
              </w:rPr>
            </w:pPr>
          </w:p>
          <w:p w14:paraId="101B3CAB">
            <w:pPr>
              <w:pStyle w:val="39"/>
              <w:spacing w:before="81" w:line="219" w:lineRule="auto"/>
              <w:ind w:left="95"/>
              <w:rPr>
                <w:rFonts w:ascii="Times New Roman" w:hAnsi="Times New Roman" w:cs="Times New Roman"/>
                <w:color w:val="auto"/>
                <w:sz w:val="25"/>
                <w:szCs w:val="25"/>
                <w:lang w:eastAsia="zh-CN"/>
              </w:rPr>
            </w:pPr>
            <w:r>
              <w:rPr>
                <w:rFonts w:ascii="Times New Roman" w:hAnsi="Times New Roman" w:cs="Times New Roman"/>
                <w:color w:val="auto"/>
                <w:spacing w:val="-5"/>
                <w:sz w:val="25"/>
                <w:szCs w:val="25"/>
                <w:lang w:eastAsia="zh-CN"/>
              </w:rPr>
              <w:t>编制时间：  年</w:t>
            </w:r>
            <w:r>
              <w:rPr>
                <w:rFonts w:ascii="Times New Roman" w:hAnsi="Times New Roman" w:cs="Times New Roman"/>
                <w:color w:val="auto"/>
                <w:spacing w:val="20"/>
                <w:sz w:val="25"/>
                <w:szCs w:val="25"/>
                <w:lang w:eastAsia="zh-CN"/>
              </w:rPr>
              <w:t xml:space="preserve">  </w:t>
            </w:r>
            <w:r>
              <w:rPr>
                <w:rFonts w:ascii="Times New Roman" w:hAnsi="Times New Roman" w:cs="Times New Roman"/>
                <w:color w:val="auto"/>
                <w:spacing w:val="-5"/>
                <w:sz w:val="25"/>
                <w:szCs w:val="25"/>
                <w:lang w:eastAsia="zh-CN"/>
              </w:rPr>
              <w:t>月</w:t>
            </w:r>
            <w:r>
              <w:rPr>
                <w:rFonts w:ascii="Times New Roman" w:hAnsi="Times New Roman" w:cs="Times New Roman"/>
                <w:color w:val="auto"/>
                <w:spacing w:val="33"/>
                <w:sz w:val="25"/>
                <w:szCs w:val="25"/>
                <w:lang w:eastAsia="zh-CN"/>
              </w:rPr>
              <w:t xml:space="preserve">  </w:t>
            </w:r>
            <w:r>
              <w:rPr>
                <w:rFonts w:ascii="Times New Roman" w:hAnsi="Times New Roman" w:cs="Times New Roman"/>
                <w:color w:val="auto"/>
                <w:spacing w:val="-5"/>
                <w:sz w:val="25"/>
                <w:szCs w:val="25"/>
                <w:lang w:eastAsia="zh-CN"/>
              </w:rPr>
              <w:t>日</w:t>
            </w:r>
            <w:r>
              <w:rPr>
                <w:rFonts w:ascii="Times New Roman" w:hAnsi="Times New Roman" w:cs="Times New Roman"/>
                <w:color w:val="auto"/>
                <w:spacing w:val="6"/>
                <w:sz w:val="25"/>
                <w:szCs w:val="25"/>
                <w:lang w:eastAsia="zh-CN"/>
              </w:rPr>
              <w:t xml:space="preserve">                  </w:t>
            </w:r>
            <w:r>
              <w:rPr>
                <w:rFonts w:ascii="Times New Roman" w:hAnsi="Times New Roman" w:cs="Times New Roman"/>
                <w:color w:val="auto"/>
                <w:spacing w:val="-5"/>
                <w:sz w:val="25"/>
                <w:szCs w:val="25"/>
                <w:lang w:eastAsia="zh-CN"/>
              </w:rPr>
              <w:t>编制时间：</w:t>
            </w:r>
            <w:r>
              <w:rPr>
                <w:rFonts w:ascii="Times New Roman" w:hAnsi="Times New Roman" w:cs="Times New Roman"/>
                <w:color w:val="auto"/>
                <w:spacing w:val="19"/>
                <w:sz w:val="25"/>
                <w:szCs w:val="25"/>
                <w:lang w:eastAsia="zh-CN"/>
              </w:rPr>
              <w:t xml:space="preserve">  </w:t>
            </w:r>
            <w:r>
              <w:rPr>
                <w:rFonts w:ascii="Times New Roman" w:hAnsi="Times New Roman" w:cs="Times New Roman"/>
                <w:color w:val="auto"/>
                <w:spacing w:val="-5"/>
                <w:sz w:val="25"/>
                <w:szCs w:val="25"/>
                <w:lang w:eastAsia="zh-CN"/>
              </w:rPr>
              <w:t>年</w:t>
            </w:r>
            <w:r>
              <w:rPr>
                <w:rFonts w:ascii="Times New Roman" w:hAnsi="Times New Roman" w:cs="Times New Roman"/>
                <w:color w:val="auto"/>
                <w:spacing w:val="14"/>
                <w:sz w:val="25"/>
                <w:szCs w:val="25"/>
                <w:lang w:eastAsia="zh-CN"/>
              </w:rPr>
              <w:t xml:space="preserve">  </w:t>
            </w:r>
            <w:r>
              <w:rPr>
                <w:rFonts w:ascii="Times New Roman" w:hAnsi="Times New Roman" w:cs="Times New Roman"/>
                <w:color w:val="auto"/>
                <w:spacing w:val="-5"/>
                <w:sz w:val="25"/>
                <w:szCs w:val="25"/>
                <w:lang w:eastAsia="zh-CN"/>
              </w:rPr>
              <w:t>月</w:t>
            </w:r>
            <w:r>
              <w:rPr>
                <w:rFonts w:ascii="Times New Roman" w:hAnsi="Times New Roman" w:cs="Times New Roman"/>
                <w:color w:val="auto"/>
                <w:spacing w:val="33"/>
                <w:sz w:val="25"/>
                <w:szCs w:val="25"/>
                <w:lang w:eastAsia="zh-CN"/>
              </w:rPr>
              <w:t xml:space="preserve">  </w:t>
            </w:r>
            <w:r>
              <w:rPr>
                <w:rFonts w:ascii="Times New Roman" w:hAnsi="Times New Roman" w:cs="Times New Roman"/>
                <w:color w:val="auto"/>
                <w:spacing w:val="-5"/>
                <w:sz w:val="25"/>
                <w:szCs w:val="25"/>
                <w:lang w:eastAsia="zh-CN"/>
              </w:rPr>
              <w:t>日</w:t>
            </w:r>
          </w:p>
        </w:tc>
      </w:tr>
    </w:tbl>
    <w:p w14:paraId="2AC5A745">
      <w:pPr>
        <w:pStyle w:val="8"/>
        <w:rPr>
          <w:rFonts w:cs="Times New Roman"/>
          <w:color w:val="auto"/>
        </w:rPr>
      </w:pPr>
    </w:p>
    <w:p w14:paraId="0C8CDE4B">
      <w:pPr>
        <w:rPr>
          <w:rFonts w:ascii="Times New Roman" w:hAnsi="Times New Roman" w:cs="Times New Roman"/>
          <w:color w:val="auto"/>
        </w:rPr>
        <w:sectPr>
          <w:footerReference r:id="rId18" w:type="default"/>
          <w:pgSz w:w="11910" w:h="16840"/>
          <w:pgMar w:top="1440" w:right="1080" w:bottom="1440" w:left="1080" w:header="0" w:footer="679" w:gutter="0"/>
          <w:cols w:space="720" w:num="1"/>
        </w:sectPr>
      </w:pPr>
    </w:p>
    <w:p w14:paraId="03BFA0E0">
      <w:pPr>
        <w:spacing w:before="88" w:line="219" w:lineRule="auto"/>
        <w:rPr>
          <w:rFonts w:ascii="Times New Roman" w:hAnsi="Times New Roman" w:eastAsia="宋体" w:cs="Times New Roman"/>
          <w:color w:val="auto"/>
          <w:sz w:val="27"/>
          <w:szCs w:val="27"/>
        </w:rPr>
      </w:pPr>
      <w:r>
        <w:rPr>
          <w:rFonts w:ascii="Times New Roman" w:hAnsi="Times New Roman" w:eastAsia="宋体" w:cs="Times New Roman"/>
          <w:color w:val="auto"/>
          <w:spacing w:val="8"/>
          <w:sz w:val="27"/>
          <w:szCs w:val="27"/>
        </w:rPr>
        <w:t>附件3:</w:t>
      </w:r>
    </w:p>
    <w:p w14:paraId="57481C07">
      <w:pPr>
        <w:pStyle w:val="8"/>
        <w:spacing w:line="399" w:lineRule="auto"/>
        <w:rPr>
          <w:rFonts w:cs="Times New Roman"/>
          <w:color w:val="auto"/>
        </w:rPr>
      </w:pPr>
    </w:p>
    <w:p w14:paraId="1999A6DF">
      <w:pPr>
        <w:spacing w:before="78" w:line="219" w:lineRule="auto"/>
        <w:ind w:left="4245"/>
        <w:rPr>
          <w:rFonts w:ascii="Times New Roman" w:hAnsi="Times New Roman" w:eastAsia="宋体" w:cs="Times New Roman"/>
          <w:color w:val="auto"/>
          <w:szCs w:val="24"/>
        </w:rPr>
      </w:pPr>
      <w:r>
        <w:rPr>
          <w:rFonts w:ascii="Times New Roman" w:hAnsi="Times New Roman" w:eastAsia="宋体" w:cs="Times New Roman"/>
          <w:color w:val="auto"/>
          <w:spacing w:val="-3"/>
          <w:szCs w:val="24"/>
        </w:rPr>
        <w:t>编制说明</w:t>
      </w:r>
    </w:p>
    <w:p w14:paraId="62FB7C14">
      <w:pPr>
        <w:spacing w:before="146" w:line="195" w:lineRule="auto"/>
        <w:ind w:left="25"/>
        <w:rPr>
          <w:rFonts w:ascii="Times New Roman" w:hAnsi="Times New Roman" w:eastAsia="宋体" w:cs="Times New Roman"/>
          <w:color w:val="auto"/>
          <w:sz w:val="25"/>
          <w:szCs w:val="25"/>
        </w:rPr>
      </w:pPr>
      <w:r>
        <w:rPr>
          <w:rFonts w:ascii="Times New Roman" w:hAnsi="Times New Roman" w:eastAsia="宋体" w:cs="Times New Roman"/>
          <w:color w:val="auto"/>
          <w:spacing w:val="-2"/>
          <w:sz w:val="25"/>
          <w:szCs w:val="25"/>
        </w:rPr>
        <w:t>工程名称：</w:t>
      </w:r>
      <w:r>
        <w:rPr>
          <w:rFonts w:ascii="Times New Roman" w:hAnsi="Times New Roman" w:eastAsia="宋体" w:cs="Times New Roman"/>
          <w:color w:val="auto"/>
          <w:spacing w:val="1"/>
          <w:sz w:val="25"/>
          <w:szCs w:val="25"/>
        </w:rPr>
        <w:t xml:space="preserve">                                                </w:t>
      </w:r>
      <w:r>
        <w:rPr>
          <w:rFonts w:ascii="Times New Roman" w:hAnsi="Times New Roman" w:eastAsia="宋体" w:cs="Times New Roman"/>
          <w:color w:val="auto"/>
          <w:spacing w:val="-2"/>
          <w:sz w:val="25"/>
          <w:szCs w:val="25"/>
        </w:rPr>
        <w:t>第</w:t>
      </w:r>
      <w:r>
        <w:rPr>
          <w:rFonts w:ascii="Times New Roman" w:hAnsi="Times New Roman" w:eastAsia="宋体" w:cs="Times New Roman"/>
          <w:color w:val="auto"/>
          <w:spacing w:val="25"/>
          <w:sz w:val="25"/>
          <w:szCs w:val="25"/>
        </w:rPr>
        <w:t xml:space="preserve">  </w:t>
      </w:r>
      <w:r>
        <w:rPr>
          <w:rFonts w:ascii="Times New Roman" w:hAnsi="Times New Roman" w:eastAsia="宋体" w:cs="Times New Roman"/>
          <w:color w:val="auto"/>
          <w:spacing w:val="-2"/>
          <w:sz w:val="25"/>
          <w:szCs w:val="25"/>
        </w:rPr>
        <w:t>页共页</w:t>
      </w:r>
    </w:p>
    <w:tbl>
      <w:tblPr>
        <w:tblStyle w:val="29"/>
        <w:tblW w:w="929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290"/>
      </w:tblGrid>
      <w:tr w14:paraId="334BC5C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460" w:hRule="atLeast"/>
        </w:trPr>
        <w:tc>
          <w:tcPr>
            <w:tcW w:w="9290" w:type="dxa"/>
          </w:tcPr>
          <w:p w14:paraId="30BEB96B">
            <w:pPr>
              <w:spacing w:line="316" w:lineRule="auto"/>
              <w:rPr>
                <w:rFonts w:ascii="Times New Roman" w:hAnsi="Times New Roman" w:cs="Times New Roman"/>
                <w:color w:val="auto"/>
                <w:sz w:val="21"/>
              </w:rPr>
            </w:pPr>
          </w:p>
          <w:p w14:paraId="145278E9">
            <w:pPr>
              <w:spacing w:line="400" w:lineRule="exact"/>
              <w:rPr>
                <w:rFonts w:ascii="Times New Roman" w:hAnsi="Times New Roman" w:cs="Times New Roman"/>
                <w:color w:val="auto"/>
                <w:szCs w:val="24"/>
              </w:rPr>
            </w:pPr>
          </w:p>
          <w:p w14:paraId="0C842953">
            <w:pPr>
              <w:pStyle w:val="39"/>
              <w:snapToGrid/>
              <w:spacing w:line="400" w:lineRule="exact"/>
              <w:ind w:left="125" w:right="240" w:firstLine="499"/>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1.工程概况：建设地址、建筑面积、建筑高度、占地面积、经济指标、层高、层</w:t>
            </w:r>
            <w:r>
              <w:rPr>
                <w:rFonts w:ascii="Times New Roman" w:hAnsi="Times New Roman" w:cs="Times New Roman"/>
                <w:color w:val="auto"/>
                <w:spacing w:val="13"/>
                <w:sz w:val="24"/>
                <w:szCs w:val="24"/>
                <w:lang w:eastAsia="zh-CN"/>
              </w:rPr>
              <w:t xml:space="preserve"> </w:t>
            </w:r>
            <w:r>
              <w:rPr>
                <w:rFonts w:ascii="Times New Roman" w:hAnsi="Times New Roman" w:cs="Times New Roman"/>
                <w:color w:val="auto"/>
                <w:sz w:val="24"/>
                <w:szCs w:val="24"/>
                <w:lang w:eastAsia="zh-CN"/>
              </w:rPr>
              <w:t>数、结构形式、定额(计划)工期、质量目标、施工现场情况、自然地理条件、环境</w:t>
            </w:r>
          </w:p>
          <w:p w14:paraId="34CFCBA3">
            <w:pPr>
              <w:pStyle w:val="39"/>
              <w:snapToGrid/>
              <w:spacing w:line="400" w:lineRule="exact"/>
              <w:ind w:left="115"/>
              <w:rPr>
                <w:rFonts w:ascii="Times New Roman" w:hAnsi="Times New Roman" w:cs="Times New Roman"/>
                <w:color w:val="auto"/>
                <w:sz w:val="24"/>
                <w:szCs w:val="24"/>
                <w:lang w:eastAsia="zh-CN"/>
              </w:rPr>
            </w:pPr>
            <w:r>
              <w:rPr>
                <w:rFonts w:ascii="Times New Roman" w:hAnsi="Times New Roman" w:cs="Times New Roman"/>
                <w:color w:val="auto"/>
                <w:spacing w:val="-1"/>
                <w:sz w:val="24"/>
                <w:szCs w:val="24"/>
                <w:lang w:eastAsia="zh-CN"/>
              </w:rPr>
              <w:t>保护要求等。</w:t>
            </w:r>
          </w:p>
          <w:p w14:paraId="0EF9806B">
            <w:pPr>
              <w:pStyle w:val="39"/>
              <w:snapToGrid/>
              <w:spacing w:line="400" w:lineRule="exact"/>
              <w:ind w:left="585"/>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2.编制依据：计价依据、标准与规范、施工图纸、标准图集等。</w:t>
            </w:r>
          </w:p>
          <w:p w14:paraId="100F3C0A">
            <w:pPr>
              <w:pStyle w:val="39"/>
              <w:snapToGrid/>
              <w:spacing w:line="400" w:lineRule="exact"/>
              <w:ind w:left="585" w:right="3174"/>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3.采用(或经合同双方批准、确认)的施工组织设</w:t>
            </w:r>
            <w:r>
              <w:rPr>
                <w:rFonts w:ascii="Times New Roman" w:hAnsi="Times New Roman" w:cs="Times New Roman"/>
                <w:color w:val="auto"/>
                <w:spacing w:val="-1"/>
                <w:sz w:val="24"/>
                <w:szCs w:val="24"/>
                <w:lang w:eastAsia="zh-CN"/>
              </w:rPr>
              <w:t>计。</w:t>
            </w:r>
            <w:r>
              <w:rPr>
                <w:rFonts w:ascii="Times New Roman" w:hAnsi="Times New Roman" w:cs="Times New Roman"/>
                <w:color w:val="auto"/>
                <w:sz w:val="24"/>
                <w:szCs w:val="24"/>
                <w:lang w:eastAsia="zh-CN"/>
              </w:rPr>
              <w:t xml:space="preserve"> 4.综合单价需(或已)包括的风险因素、范围(幅度</w:t>
            </w:r>
            <w:r>
              <w:rPr>
                <w:rFonts w:ascii="Times New Roman" w:hAnsi="Times New Roman" w:cs="Times New Roman"/>
                <w:color w:val="auto"/>
                <w:spacing w:val="-1"/>
                <w:sz w:val="24"/>
                <w:szCs w:val="24"/>
                <w:lang w:eastAsia="zh-CN"/>
              </w:rPr>
              <w:t>)。</w:t>
            </w:r>
          </w:p>
          <w:p w14:paraId="2FE2DA2B">
            <w:pPr>
              <w:pStyle w:val="39"/>
              <w:snapToGrid/>
              <w:spacing w:line="400" w:lineRule="exact"/>
              <w:ind w:left="585" w:right="5814"/>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5.采用的计价、计税方法。 6.其他需要说明的问题。</w:t>
            </w:r>
          </w:p>
          <w:p w14:paraId="65809FE0">
            <w:pPr>
              <w:snapToGrid/>
              <w:spacing w:line="400" w:lineRule="exact"/>
              <w:rPr>
                <w:rFonts w:ascii="Times New Roman" w:hAnsi="Times New Roman" w:cs="Times New Roman"/>
                <w:color w:val="auto"/>
                <w:szCs w:val="24"/>
              </w:rPr>
            </w:pPr>
          </w:p>
          <w:p w14:paraId="2600B279">
            <w:pPr>
              <w:snapToGrid/>
              <w:spacing w:line="400" w:lineRule="exact"/>
              <w:rPr>
                <w:rFonts w:ascii="Times New Roman" w:hAnsi="Times New Roman" w:cs="Times New Roman"/>
                <w:color w:val="auto"/>
                <w:szCs w:val="24"/>
              </w:rPr>
            </w:pPr>
          </w:p>
          <w:p w14:paraId="59D1A567">
            <w:pPr>
              <w:snapToGrid/>
              <w:spacing w:line="400" w:lineRule="exact"/>
              <w:rPr>
                <w:rFonts w:ascii="Times New Roman" w:hAnsi="Times New Roman" w:cs="Times New Roman"/>
                <w:color w:val="auto"/>
                <w:szCs w:val="24"/>
              </w:rPr>
            </w:pPr>
          </w:p>
          <w:p w14:paraId="372A0CF0">
            <w:pPr>
              <w:snapToGrid/>
              <w:spacing w:line="400" w:lineRule="exact"/>
              <w:rPr>
                <w:rFonts w:ascii="Times New Roman" w:hAnsi="Times New Roman" w:cs="Times New Roman"/>
                <w:color w:val="auto"/>
                <w:szCs w:val="24"/>
              </w:rPr>
            </w:pPr>
          </w:p>
          <w:p w14:paraId="71DBEB7A">
            <w:pPr>
              <w:pStyle w:val="39"/>
              <w:snapToGrid/>
              <w:spacing w:line="400" w:lineRule="exact"/>
              <w:ind w:left="115"/>
              <w:rPr>
                <w:rFonts w:ascii="Times New Roman" w:hAnsi="Times New Roman" w:cs="Times New Roman"/>
                <w:color w:val="auto"/>
                <w:sz w:val="24"/>
                <w:szCs w:val="24"/>
                <w:lang w:eastAsia="zh-CN"/>
              </w:rPr>
            </w:pPr>
            <w:r>
              <w:rPr>
                <w:rFonts w:ascii="Times New Roman" w:hAnsi="Times New Roman" w:cs="Times New Roman"/>
                <w:color w:val="auto"/>
                <w:spacing w:val="4"/>
                <w:sz w:val="24"/>
                <w:szCs w:val="24"/>
                <w:lang w:eastAsia="zh-CN"/>
              </w:rPr>
              <w:t>注：1.工程概况须根据不同专业工程特征要求进行表述；</w:t>
            </w:r>
          </w:p>
          <w:p w14:paraId="17FE5216">
            <w:pPr>
              <w:pStyle w:val="39"/>
              <w:snapToGrid/>
              <w:spacing w:line="400" w:lineRule="exact"/>
              <w:ind w:left="585"/>
              <w:rPr>
                <w:rFonts w:ascii="Times New Roman" w:hAnsi="Times New Roman" w:cs="Times New Roman"/>
                <w:color w:val="auto"/>
                <w:sz w:val="24"/>
                <w:szCs w:val="24"/>
                <w:lang w:eastAsia="zh-CN"/>
              </w:rPr>
            </w:pPr>
            <w:r>
              <w:rPr>
                <w:rFonts w:ascii="Times New Roman" w:hAnsi="Times New Roman" w:cs="Times New Roman"/>
                <w:color w:val="auto"/>
                <w:spacing w:val="4"/>
                <w:sz w:val="24"/>
                <w:szCs w:val="24"/>
                <w:lang w:eastAsia="zh-CN"/>
              </w:rPr>
              <w:t>2.必要时有关工程内容、数量、数据、工程特征等可列表表示；</w:t>
            </w:r>
          </w:p>
          <w:p w14:paraId="7AB0B93D">
            <w:pPr>
              <w:pStyle w:val="39"/>
              <w:snapToGrid/>
              <w:spacing w:line="400" w:lineRule="exact"/>
              <w:ind w:left="585"/>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3.不同计价阶段应列明相应阶段涉及量、价、费的计价依据及取定标准。</w:t>
            </w:r>
          </w:p>
        </w:tc>
      </w:tr>
    </w:tbl>
    <w:p w14:paraId="7628EFEF">
      <w:pPr>
        <w:pStyle w:val="2"/>
        <w:rPr>
          <w:rFonts w:ascii="Times New Roman" w:hAnsi="Times New Roman" w:cs="Times New Roman"/>
          <w:b w:val="0"/>
          <w:bCs w:val="0"/>
          <w:color w:val="auto"/>
          <w:spacing w:val="-5"/>
          <w:kern w:val="0"/>
          <w14:textOutline w14:w="8712" w14:cap="flat" w14:cmpd="sng" w14:algn="ctr">
            <w14:solidFill>
              <w14:srgbClr w14:val="000000"/>
            </w14:solidFill>
            <w14:prstDash w14:val="solid"/>
            <w14:miter w14:val="0"/>
          </w14:textOutline>
        </w:rPr>
        <w:sectPr>
          <w:footerReference r:id="rId19" w:type="default"/>
          <w:pgSz w:w="11906" w:h="16838"/>
          <w:pgMar w:top="1440" w:right="1083" w:bottom="1440" w:left="1083" w:header="850" w:footer="850" w:gutter="0"/>
          <w:cols w:space="0" w:num="1"/>
        </w:sectPr>
      </w:pPr>
    </w:p>
    <w:p w14:paraId="7C01430E">
      <w:pPr>
        <w:pStyle w:val="2"/>
        <w:ind w:left="0" w:firstLine="0"/>
        <w:rPr>
          <w:rFonts w:ascii="Times New Roman" w:hAnsi="Times New Roman" w:cs="Times New Roman"/>
          <w:b w:val="0"/>
          <w:bCs w:val="0"/>
          <w:color w:val="auto"/>
          <w:spacing w:val="-5"/>
          <w:kern w:val="0"/>
          <w14:textOutline w14:w="8712" w14:cap="flat" w14:cmpd="sng" w14:algn="ctr">
            <w14:solidFill>
              <w14:srgbClr w14:val="000000"/>
            </w14:solidFill>
            <w14:prstDash w14:val="solid"/>
            <w14:miter w14:val="0"/>
          </w14:textOutline>
        </w:rPr>
      </w:pPr>
      <w:r>
        <w:rPr>
          <w:rFonts w:ascii="Times New Roman" w:hAnsi="Times New Roman" w:cs="Times New Roman"/>
          <w:b w:val="0"/>
          <w:bCs w:val="0"/>
          <w:color w:val="auto"/>
          <w:spacing w:val="-5"/>
          <w:kern w:val="0"/>
          <w14:textOutline w14:w="8712" w14:cap="flat" w14:cmpd="sng" w14:algn="ctr">
            <w14:solidFill>
              <w14:srgbClr w14:val="000000"/>
            </w14:solidFill>
            <w14:prstDash w14:val="solid"/>
            <w14:miter w14:val="0"/>
          </w14:textOutline>
        </w:rPr>
        <w:t>第六章　图纸</w:t>
      </w:r>
    </w:p>
    <w:p w14:paraId="03B5D797">
      <w:pPr>
        <w:rPr>
          <w:rFonts w:ascii="Times New Roman" w:hAnsi="Times New Roman" w:cs="Times New Roman"/>
          <w:color w:val="auto"/>
        </w:rPr>
      </w:pPr>
    </w:p>
    <w:p w14:paraId="183073C3">
      <w:pPr>
        <w:jc w:val="center"/>
        <w:rPr>
          <w:rFonts w:ascii="Times New Roman" w:hAnsi="Times New Roman" w:cs="Times New Roman"/>
          <w:color w:val="auto"/>
        </w:rPr>
        <w:sectPr>
          <w:footerReference r:id="rId20" w:type="default"/>
          <w:pgSz w:w="11906" w:h="16838"/>
          <w:pgMar w:top="1440" w:right="1083" w:bottom="1440" w:left="1083" w:header="850" w:footer="850" w:gutter="0"/>
          <w:cols w:space="0" w:num="1"/>
        </w:sectPr>
      </w:pPr>
      <w:r>
        <w:rPr>
          <w:rFonts w:ascii="Times New Roman" w:hAnsi="Times New Roman" w:cs="Times New Roman"/>
          <w:color w:val="auto"/>
        </w:rPr>
        <w:t>(内容由发包人提供)</w:t>
      </w:r>
    </w:p>
    <w:p w14:paraId="483A7BD5">
      <w:pPr>
        <w:rPr>
          <w:rFonts w:ascii="Times New Roman" w:hAnsi="Times New Roman" w:cs="Times New Roman"/>
          <w:color w:val="auto"/>
        </w:rPr>
      </w:pPr>
    </w:p>
    <w:p w14:paraId="0F9EEE34">
      <w:pPr>
        <w:pStyle w:val="2"/>
        <w:rPr>
          <w:rFonts w:ascii="Times New Roman" w:hAnsi="Times New Roman" w:cs="Times New Roman"/>
          <w:b w:val="0"/>
          <w:bCs w:val="0"/>
          <w:color w:val="auto"/>
          <w:spacing w:val="-5"/>
          <w:kern w:val="0"/>
          <w14:textOutline w14:w="8712" w14:cap="flat" w14:cmpd="sng" w14:algn="ctr">
            <w14:solidFill>
              <w14:srgbClr w14:val="000000"/>
            </w14:solidFill>
            <w14:prstDash w14:val="solid"/>
            <w14:miter w14:val="0"/>
          </w14:textOutline>
        </w:rPr>
      </w:pPr>
      <w:r>
        <w:rPr>
          <w:rFonts w:ascii="Times New Roman" w:hAnsi="Times New Roman" w:cs="Times New Roman"/>
          <w:b w:val="0"/>
          <w:bCs w:val="0"/>
          <w:color w:val="auto"/>
          <w:spacing w:val="-5"/>
          <w:kern w:val="0"/>
          <w14:textOutline w14:w="8712" w14:cap="flat" w14:cmpd="sng" w14:algn="ctr">
            <w14:solidFill>
              <w14:srgbClr w14:val="000000"/>
            </w14:solidFill>
            <w14:prstDash w14:val="solid"/>
            <w14:miter w14:val="0"/>
          </w14:textOutline>
        </w:rPr>
        <w:t>第七章　技术标准和要求</w:t>
      </w:r>
    </w:p>
    <w:p w14:paraId="66936887">
      <w:pPr>
        <w:kinsoku/>
        <w:topLinePunct/>
        <w:autoSpaceDE/>
        <w:autoSpaceDN/>
        <w:adjustRightInd/>
        <w:snapToGrid/>
        <w:spacing w:before="78"/>
        <w:ind w:firstLine="426"/>
        <w:textAlignment w:val="auto"/>
        <w:rPr>
          <w:rFonts w:ascii="Times New Roman" w:hAnsi="Times New Roman" w:eastAsia="黑体" w:cs="Times New Roman"/>
          <w:color w:val="auto"/>
          <w:spacing w:val="-6"/>
          <w:sz w:val="44"/>
          <w:szCs w:val="44"/>
          <w14:textOutline w14:w="8712" w14:cap="flat" w14:cmpd="sng" w14:algn="ctr">
            <w14:solidFill>
              <w14:srgbClr w14:val="000000"/>
            </w14:solidFill>
            <w14:prstDash w14:val="solid"/>
            <w14:miter w14:val="0"/>
          </w14:textOutline>
        </w:rPr>
      </w:pPr>
    </w:p>
    <w:p w14:paraId="478C74CA">
      <w:pPr>
        <w:keepNext w:val="0"/>
        <w:keepLines w:val="0"/>
        <w:pageBreakBefore w:val="0"/>
        <w:widowControl w:val="0"/>
        <w:kinsoku/>
        <w:wordWrap/>
        <w:overflowPunct/>
        <w:topLinePunct w:val="0"/>
        <w:autoSpaceDE/>
        <w:autoSpaceDN/>
        <w:bidi w:val="0"/>
        <w:adjustRightInd w:val="0"/>
        <w:snapToGrid w:val="0"/>
        <w:spacing w:line="360" w:lineRule="auto"/>
        <w:ind w:left="360" w:leftChars="150" w:firstLine="470" w:firstLineChars="200"/>
        <w:jc w:val="both"/>
        <w:textAlignment w:val="auto"/>
        <w:rPr>
          <w:rFonts w:hint="default"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一、项目概况</w:t>
      </w:r>
    </w:p>
    <w:p w14:paraId="038B2C20">
      <w:pPr>
        <w:keepNext w:val="0"/>
        <w:keepLines w:val="0"/>
        <w:pageBreakBefore w:val="0"/>
        <w:widowControl w:val="0"/>
        <w:kinsoku/>
        <w:wordWrap/>
        <w:overflowPunct/>
        <w:topLinePunct w:val="0"/>
        <w:autoSpaceDE/>
        <w:autoSpaceDN/>
        <w:bidi w:val="0"/>
        <w:adjustRightInd w:val="0"/>
        <w:snapToGrid w:val="0"/>
        <w:spacing w:line="360" w:lineRule="auto"/>
        <w:ind w:left="360" w:leftChars="150" w:firstLine="468"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pacing w:val="-3"/>
          <w:sz w:val="24"/>
          <w:szCs w:val="24"/>
          <w:lang w:val="en-US" w:eastAsia="zh-CN"/>
        </w:rPr>
        <w:t>目前杭州临江环境能源有限公司能源运行中心共有6套布袋除尘器，每套炉布袋除尘器设置有20个净气室，处理烟气量197887Nm³/h,长期运行温度150℃，因生活垃圾焚烧处理垃圾的成份复杂，烟气含酸性气体量严重超设计值，造成布袋器净气室出现不同程度的酸性腐蚀，盖板腐蚀穿孔现象严重，为防止净气室出现更严重的腐蚀穿孔现象，现对3套共计60个净气室进行防腐大修</w:t>
      </w:r>
      <w:r>
        <w:rPr>
          <w:rFonts w:hint="eastAsia" w:ascii="宋体" w:hAnsi="宋体" w:eastAsia="宋体" w:cs="宋体"/>
          <w:sz w:val="24"/>
          <w:szCs w:val="24"/>
          <w:lang w:val="en-US" w:eastAsia="zh-CN"/>
        </w:rPr>
        <w:t>。现场设备</w:t>
      </w:r>
      <w:r>
        <w:rPr>
          <w:rFonts w:hint="eastAsia" w:ascii="宋体" w:hAnsi="宋体" w:eastAsia="宋体" w:cs="宋体"/>
          <w:snapToGrid/>
          <w:color w:val="auto"/>
          <w:kern w:val="2"/>
          <w:sz w:val="24"/>
          <w:szCs w:val="24"/>
          <w:highlight w:val="none"/>
          <w:lang w:val="en-US" w:eastAsia="zh-CN"/>
        </w:rPr>
        <w:t>由浙江菲达科技发展有限公司制造，原图号：KJF7716，主要技术参数如下：</w:t>
      </w:r>
    </w:p>
    <w:tbl>
      <w:tblPr>
        <w:tblStyle w:val="23"/>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3108"/>
        <w:gridCol w:w="2227"/>
        <w:gridCol w:w="2080"/>
      </w:tblGrid>
      <w:tr w14:paraId="0A87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noWrap w:val="0"/>
            <w:vAlign w:val="top"/>
          </w:tcPr>
          <w:p w14:paraId="4B1383F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序号</w:t>
            </w:r>
          </w:p>
        </w:tc>
        <w:tc>
          <w:tcPr>
            <w:tcW w:w="3108" w:type="dxa"/>
            <w:noWrap w:val="0"/>
            <w:vAlign w:val="top"/>
          </w:tcPr>
          <w:p w14:paraId="0049670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名称</w:t>
            </w:r>
          </w:p>
        </w:tc>
        <w:tc>
          <w:tcPr>
            <w:tcW w:w="2227" w:type="dxa"/>
            <w:noWrap w:val="0"/>
            <w:vAlign w:val="top"/>
          </w:tcPr>
          <w:p w14:paraId="4953E0A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单位</w:t>
            </w:r>
          </w:p>
        </w:tc>
        <w:tc>
          <w:tcPr>
            <w:tcW w:w="2080" w:type="dxa"/>
            <w:noWrap w:val="0"/>
            <w:vAlign w:val="top"/>
          </w:tcPr>
          <w:p w14:paraId="6D0C92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技术参数</w:t>
            </w:r>
          </w:p>
        </w:tc>
      </w:tr>
      <w:tr w14:paraId="40A3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noWrap w:val="0"/>
            <w:vAlign w:val="top"/>
          </w:tcPr>
          <w:p w14:paraId="05F2801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1</w:t>
            </w:r>
          </w:p>
        </w:tc>
        <w:tc>
          <w:tcPr>
            <w:tcW w:w="3108" w:type="dxa"/>
            <w:noWrap w:val="0"/>
            <w:vAlign w:val="top"/>
          </w:tcPr>
          <w:p w14:paraId="33A14E6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处理烟气量</w:t>
            </w:r>
          </w:p>
        </w:tc>
        <w:tc>
          <w:tcPr>
            <w:tcW w:w="2227" w:type="dxa"/>
            <w:noWrap w:val="0"/>
            <w:vAlign w:val="top"/>
          </w:tcPr>
          <w:p w14:paraId="6F5EB9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Nm³/h</w:t>
            </w:r>
          </w:p>
        </w:tc>
        <w:tc>
          <w:tcPr>
            <w:tcW w:w="2080" w:type="dxa"/>
            <w:noWrap w:val="0"/>
            <w:vAlign w:val="top"/>
          </w:tcPr>
          <w:p w14:paraId="1D4BDD8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197887</w:t>
            </w:r>
          </w:p>
        </w:tc>
      </w:tr>
      <w:tr w14:paraId="7B21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noWrap w:val="0"/>
            <w:vAlign w:val="top"/>
          </w:tcPr>
          <w:p w14:paraId="109657B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2</w:t>
            </w:r>
          </w:p>
        </w:tc>
        <w:tc>
          <w:tcPr>
            <w:tcW w:w="3108" w:type="dxa"/>
            <w:noWrap w:val="0"/>
            <w:vAlign w:val="top"/>
          </w:tcPr>
          <w:p w14:paraId="5B9571E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运行温度（长期）</w:t>
            </w:r>
          </w:p>
        </w:tc>
        <w:tc>
          <w:tcPr>
            <w:tcW w:w="2227" w:type="dxa"/>
            <w:noWrap w:val="0"/>
            <w:vAlign w:val="top"/>
          </w:tcPr>
          <w:p w14:paraId="19BA700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w:t>
            </w:r>
          </w:p>
        </w:tc>
        <w:tc>
          <w:tcPr>
            <w:tcW w:w="2080" w:type="dxa"/>
            <w:noWrap w:val="0"/>
            <w:vAlign w:val="top"/>
          </w:tcPr>
          <w:p w14:paraId="5A3BA7B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150</w:t>
            </w:r>
          </w:p>
        </w:tc>
      </w:tr>
      <w:tr w14:paraId="44F3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noWrap w:val="0"/>
            <w:vAlign w:val="top"/>
          </w:tcPr>
          <w:p w14:paraId="39156AD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3</w:t>
            </w:r>
          </w:p>
        </w:tc>
        <w:tc>
          <w:tcPr>
            <w:tcW w:w="3108" w:type="dxa"/>
            <w:noWrap w:val="0"/>
            <w:vAlign w:val="top"/>
          </w:tcPr>
          <w:p w14:paraId="533617A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总过滤面积</w:t>
            </w:r>
          </w:p>
        </w:tc>
        <w:tc>
          <w:tcPr>
            <w:tcW w:w="2227" w:type="dxa"/>
            <w:noWrap w:val="0"/>
            <w:vAlign w:val="top"/>
          </w:tcPr>
          <w:p w14:paraId="00C92A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w:t>
            </w:r>
          </w:p>
        </w:tc>
        <w:tc>
          <w:tcPr>
            <w:tcW w:w="2080" w:type="dxa"/>
            <w:noWrap w:val="0"/>
            <w:vAlign w:val="top"/>
          </w:tcPr>
          <w:p w14:paraId="22856A6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7716</w:t>
            </w:r>
          </w:p>
        </w:tc>
      </w:tr>
      <w:tr w14:paraId="0806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noWrap w:val="0"/>
            <w:vAlign w:val="top"/>
          </w:tcPr>
          <w:p w14:paraId="771DF29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4</w:t>
            </w:r>
          </w:p>
        </w:tc>
        <w:tc>
          <w:tcPr>
            <w:tcW w:w="3108" w:type="dxa"/>
            <w:noWrap w:val="0"/>
            <w:vAlign w:val="top"/>
          </w:tcPr>
          <w:p w14:paraId="0C724DD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过滤风速</w:t>
            </w:r>
          </w:p>
        </w:tc>
        <w:tc>
          <w:tcPr>
            <w:tcW w:w="2227" w:type="dxa"/>
            <w:noWrap w:val="0"/>
            <w:vAlign w:val="top"/>
          </w:tcPr>
          <w:p w14:paraId="0F354A4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m/min</w:t>
            </w:r>
          </w:p>
        </w:tc>
        <w:tc>
          <w:tcPr>
            <w:tcW w:w="2080" w:type="dxa"/>
            <w:noWrap w:val="0"/>
            <w:vAlign w:val="top"/>
          </w:tcPr>
          <w:p w14:paraId="06272F0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≤0.7</w:t>
            </w:r>
          </w:p>
        </w:tc>
      </w:tr>
      <w:tr w14:paraId="7F0F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noWrap w:val="0"/>
            <w:vAlign w:val="top"/>
          </w:tcPr>
          <w:p w14:paraId="6CC5351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5</w:t>
            </w:r>
          </w:p>
        </w:tc>
        <w:tc>
          <w:tcPr>
            <w:tcW w:w="3108" w:type="dxa"/>
            <w:noWrap w:val="0"/>
            <w:vAlign w:val="top"/>
          </w:tcPr>
          <w:p w14:paraId="7C74E65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滤袋数量</w:t>
            </w:r>
          </w:p>
        </w:tc>
        <w:tc>
          <w:tcPr>
            <w:tcW w:w="2227" w:type="dxa"/>
            <w:noWrap w:val="0"/>
            <w:vAlign w:val="top"/>
          </w:tcPr>
          <w:p w14:paraId="303AFEC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条</w:t>
            </w:r>
          </w:p>
        </w:tc>
        <w:tc>
          <w:tcPr>
            <w:tcW w:w="2080" w:type="dxa"/>
            <w:noWrap w:val="0"/>
            <w:vAlign w:val="top"/>
          </w:tcPr>
          <w:p w14:paraId="6970CF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2560</w:t>
            </w:r>
          </w:p>
        </w:tc>
      </w:tr>
      <w:tr w14:paraId="2111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noWrap w:val="0"/>
            <w:vAlign w:val="top"/>
          </w:tcPr>
          <w:p w14:paraId="36ACA7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6</w:t>
            </w:r>
          </w:p>
        </w:tc>
        <w:tc>
          <w:tcPr>
            <w:tcW w:w="3108" w:type="dxa"/>
            <w:noWrap w:val="0"/>
            <w:vAlign w:val="top"/>
          </w:tcPr>
          <w:p w14:paraId="066D447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仓室数</w:t>
            </w:r>
          </w:p>
        </w:tc>
        <w:tc>
          <w:tcPr>
            <w:tcW w:w="2227" w:type="dxa"/>
            <w:noWrap w:val="0"/>
            <w:vAlign w:val="top"/>
          </w:tcPr>
          <w:p w14:paraId="2444FD7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室</w:t>
            </w:r>
          </w:p>
        </w:tc>
        <w:tc>
          <w:tcPr>
            <w:tcW w:w="2080" w:type="dxa"/>
            <w:noWrap w:val="0"/>
            <w:vAlign w:val="top"/>
          </w:tcPr>
          <w:p w14:paraId="06EFD66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20</w:t>
            </w:r>
          </w:p>
        </w:tc>
      </w:tr>
      <w:tr w14:paraId="6197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noWrap w:val="0"/>
            <w:vAlign w:val="top"/>
          </w:tcPr>
          <w:p w14:paraId="3D27A37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7</w:t>
            </w:r>
          </w:p>
        </w:tc>
        <w:tc>
          <w:tcPr>
            <w:tcW w:w="3108" w:type="dxa"/>
            <w:noWrap w:val="0"/>
            <w:vAlign w:val="top"/>
          </w:tcPr>
          <w:p w14:paraId="7694405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灰斗数量</w:t>
            </w:r>
          </w:p>
        </w:tc>
        <w:tc>
          <w:tcPr>
            <w:tcW w:w="2227" w:type="dxa"/>
            <w:noWrap w:val="0"/>
            <w:vAlign w:val="top"/>
          </w:tcPr>
          <w:p w14:paraId="330F261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个</w:t>
            </w:r>
          </w:p>
        </w:tc>
        <w:tc>
          <w:tcPr>
            <w:tcW w:w="2080" w:type="dxa"/>
            <w:noWrap w:val="0"/>
            <w:vAlign w:val="top"/>
          </w:tcPr>
          <w:p w14:paraId="68784F3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10</w:t>
            </w:r>
          </w:p>
        </w:tc>
      </w:tr>
      <w:tr w14:paraId="3889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noWrap w:val="0"/>
            <w:vAlign w:val="top"/>
          </w:tcPr>
          <w:p w14:paraId="014C4FC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8</w:t>
            </w:r>
          </w:p>
        </w:tc>
        <w:tc>
          <w:tcPr>
            <w:tcW w:w="3108" w:type="dxa"/>
            <w:noWrap w:val="0"/>
            <w:vAlign w:val="top"/>
          </w:tcPr>
          <w:p w14:paraId="352CB50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滤袋规格</w:t>
            </w:r>
          </w:p>
        </w:tc>
        <w:tc>
          <w:tcPr>
            <w:tcW w:w="2227" w:type="dxa"/>
            <w:noWrap w:val="0"/>
            <w:vAlign w:val="top"/>
          </w:tcPr>
          <w:p w14:paraId="6A5B2B9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mm</w:t>
            </w:r>
          </w:p>
        </w:tc>
        <w:tc>
          <w:tcPr>
            <w:tcW w:w="2080" w:type="dxa"/>
            <w:noWrap w:val="0"/>
            <w:vAlign w:val="top"/>
          </w:tcPr>
          <w:p w14:paraId="34F5E22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Φ160*6000</w:t>
            </w:r>
          </w:p>
        </w:tc>
      </w:tr>
      <w:tr w14:paraId="5FA1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noWrap w:val="0"/>
            <w:vAlign w:val="top"/>
          </w:tcPr>
          <w:p w14:paraId="1D8DD65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9</w:t>
            </w:r>
          </w:p>
        </w:tc>
        <w:tc>
          <w:tcPr>
            <w:tcW w:w="3108" w:type="dxa"/>
            <w:noWrap w:val="0"/>
            <w:vAlign w:val="top"/>
          </w:tcPr>
          <w:p w14:paraId="08AF277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滤袋材质</w:t>
            </w:r>
          </w:p>
        </w:tc>
        <w:tc>
          <w:tcPr>
            <w:tcW w:w="2227" w:type="dxa"/>
            <w:noWrap w:val="0"/>
            <w:vAlign w:val="top"/>
          </w:tcPr>
          <w:p w14:paraId="33AF081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kern w:val="0"/>
                <w:sz w:val="24"/>
                <w:szCs w:val="24"/>
                <w:vertAlign w:val="baseline"/>
                <w:lang w:val="en-US" w:eastAsia="zh-CN"/>
              </w:rPr>
            </w:pPr>
          </w:p>
        </w:tc>
        <w:tc>
          <w:tcPr>
            <w:tcW w:w="2080" w:type="dxa"/>
            <w:noWrap w:val="0"/>
            <w:vAlign w:val="top"/>
          </w:tcPr>
          <w:p w14:paraId="7462879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PTFE+PTFE覆膜</w:t>
            </w:r>
          </w:p>
        </w:tc>
      </w:tr>
      <w:tr w14:paraId="4C5A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noWrap w:val="0"/>
            <w:vAlign w:val="top"/>
          </w:tcPr>
          <w:p w14:paraId="3C03593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10</w:t>
            </w:r>
          </w:p>
        </w:tc>
        <w:tc>
          <w:tcPr>
            <w:tcW w:w="3108" w:type="dxa"/>
            <w:noWrap w:val="0"/>
            <w:vAlign w:val="top"/>
          </w:tcPr>
          <w:p w14:paraId="2AAA411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脉冲阀数量</w:t>
            </w:r>
          </w:p>
        </w:tc>
        <w:tc>
          <w:tcPr>
            <w:tcW w:w="2227" w:type="dxa"/>
            <w:noWrap w:val="0"/>
            <w:vAlign w:val="top"/>
          </w:tcPr>
          <w:p w14:paraId="26D2E9F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个</w:t>
            </w:r>
          </w:p>
        </w:tc>
        <w:tc>
          <w:tcPr>
            <w:tcW w:w="2080" w:type="dxa"/>
            <w:noWrap w:val="0"/>
            <w:vAlign w:val="top"/>
          </w:tcPr>
          <w:p w14:paraId="7A2015F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160</w:t>
            </w:r>
          </w:p>
        </w:tc>
      </w:tr>
      <w:tr w14:paraId="4F87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noWrap w:val="0"/>
            <w:vAlign w:val="top"/>
          </w:tcPr>
          <w:p w14:paraId="2D3391B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11</w:t>
            </w:r>
          </w:p>
        </w:tc>
        <w:tc>
          <w:tcPr>
            <w:tcW w:w="3108" w:type="dxa"/>
            <w:noWrap w:val="0"/>
            <w:vAlign w:val="top"/>
          </w:tcPr>
          <w:p w14:paraId="44BD24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喷吹压力</w:t>
            </w:r>
          </w:p>
        </w:tc>
        <w:tc>
          <w:tcPr>
            <w:tcW w:w="2227" w:type="dxa"/>
            <w:noWrap w:val="0"/>
            <w:vAlign w:val="top"/>
          </w:tcPr>
          <w:p w14:paraId="37C531A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MPa</w:t>
            </w:r>
          </w:p>
        </w:tc>
        <w:tc>
          <w:tcPr>
            <w:tcW w:w="2080" w:type="dxa"/>
            <w:noWrap w:val="0"/>
            <w:vAlign w:val="top"/>
          </w:tcPr>
          <w:p w14:paraId="1921D6E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0.3</w:t>
            </w:r>
          </w:p>
        </w:tc>
      </w:tr>
      <w:tr w14:paraId="4D6F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noWrap w:val="0"/>
            <w:vAlign w:val="top"/>
          </w:tcPr>
          <w:p w14:paraId="47E4D15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12</w:t>
            </w:r>
          </w:p>
        </w:tc>
        <w:tc>
          <w:tcPr>
            <w:tcW w:w="3108" w:type="dxa"/>
            <w:noWrap w:val="0"/>
            <w:vAlign w:val="top"/>
          </w:tcPr>
          <w:p w14:paraId="7040A9F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设备阻力</w:t>
            </w:r>
          </w:p>
        </w:tc>
        <w:tc>
          <w:tcPr>
            <w:tcW w:w="2227" w:type="dxa"/>
            <w:noWrap w:val="0"/>
            <w:vAlign w:val="top"/>
          </w:tcPr>
          <w:p w14:paraId="5D2BB01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Pa</w:t>
            </w:r>
          </w:p>
        </w:tc>
        <w:tc>
          <w:tcPr>
            <w:tcW w:w="2080" w:type="dxa"/>
            <w:noWrap w:val="0"/>
            <w:vAlign w:val="top"/>
          </w:tcPr>
          <w:p w14:paraId="43EB695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kern w:val="0"/>
                <w:sz w:val="24"/>
                <w:szCs w:val="24"/>
                <w:vertAlign w:val="baseline"/>
                <w:lang w:val="en-US" w:eastAsia="zh-CN"/>
              </w:rPr>
            </w:pPr>
            <w:r>
              <w:rPr>
                <w:rFonts w:hint="eastAsia" w:ascii="宋体" w:hAnsi="宋体" w:eastAsia="宋体" w:cs="宋体"/>
                <w:bCs/>
                <w:kern w:val="0"/>
                <w:sz w:val="24"/>
                <w:szCs w:val="24"/>
                <w:vertAlign w:val="baseline"/>
                <w:lang w:val="en-US" w:eastAsia="zh-CN"/>
              </w:rPr>
              <w:t>≤1500</w:t>
            </w:r>
          </w:p>
        </w:tc>
      </w:tr>
    </w:tbl>
    <w:p w14:paraId="286A991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二、施工要求</w:t>
      </w:r>
    </w:p>
    <w:p w14:paraId="6A79A3BB">
      <w:pPr>
        <w:keepNext w:val="0"/>
        <w:keepLines w:val="0"/>
        <w:pageBreakBefore w:val="0"/>
        <w:widowControl w:val="0"/>
        <w:kinsoku/>
        <w:wordWrap/>
        <w:overflowPunct/>
        <w:topLinePunct w:val="0"/>
        <w:autoSpaceDE/>
        <w:autoSpaceDN/>
        <w:bidi w:val="0"/>
        <w:adjustRightInd/>
        <w:snapToGrid/>
        <w:spacing w:line="360" w:lineRule="auto"/>
        <w:ind w:left="360" w:leftChars="15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1.本次招标的</w:t>
      </w:r>
      <w:r>
        <w:rPr>
          <w:rFonts w:hint="eastAsia" w:ascii="Times New Roman" w:hAnsi="Times New Roman" w:cs="Times New Roman"/>
          <w:b w:val="0"/>
          <w:bCs w:val="0"/>
          <w:color w:val="auto"/>
          <w:spacing w:val="-5"/>
          <w:kern w:val="0"/>
          <w:highlight w:val="none"/>
          <w:lang w:val="en-US" w:eastAsia="zh-CN"/>
        </w:rPr>
        <w:t>布袋净气室防腐</w:t>
      </w:r>
      <w:r>
        <w:rPr>
          <w:rFonts w:hint="eastAsia" w:ascii="宋体" w:hAnsi="宋体" w:eastAsia="宋体" w:cs="宋体"/>
          <w:color w:val="auto"/>
          <w:sz w:val="24"/>
          <w:szCs w:val="24"/>
          <w:highlight w:val="none"/>
          <w:lang w:val="en-US" w:eastAsia="zh-CN"/>
        </w:rPr>
        <w:t>大修项目是在原有设备上施工，承包人需充分考虑现场货物及施工车辆进出通道、施工环境狭小限制等因素，必要时可提前到现场进行勘探。</w:t>
      </w:r>
    </w:p>
    <w:p w14:paraId="15F5ECFF">
      <w:pPr>
        <w:keepNext w:val="0"/>
        <w:keepLines w:val="0"/>
        <w:pageBreakBefore w:val="0"/>
        <w:widowControl w:val="0"/>
        <w:kinsoku/>
        <w:wordWrap/>
        <w:overflowPunct/>
        <w:topLinePunct w:val="0"/>
        <w:autoSpaceDE/>
        <w:autoSpaceDN/>
        <w:bidi w:val="0"/>
        <w:adjustRightInd/>
        <w:snapToGrid/>
        <w:spacing w:line="360" w:lineRule="auto"/>
        <w:ind w:left="360" w:leftChars="15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2.承包人根据发包人提供的技术文件和现场实际情况，编制详细切实可行大修方案，经批准后实施。方案中包含但不限于人员及工器具落实情况、配件准备情况、维修准备、调试验收安排、技术资料等；</w:t>
      </w:r>
    </w:p>
    <w:p w14:paraId="61F33B0A">
      <w:pPr>
        <w:keepNext w:val="0"/>
        <w:keepLines w:val="0"/>
        <w:pageBreakBefore w:val="0"/>
        <w:widowControl w:val="0"/>
        <w:kinsoku/>
        <w:wordWrap/>
        <w:overflowPunct/>
        <w:topLinePunct w:val="0"/>
        <w:autoSpaceDE/>
        <w:autoSpaceDN/>
        <w:bidi w:val="0"/>
        <w:adjustRightInd/>
        <w:snapToGrid/>
        <w:spacing w:line="360" w:lineRule="auto"/>
        <w:ind w:left="360" w:leftChars="15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3.承包人各作业工种人员须持证上岗，如吊装作业、涉电作业、电焊作业、动火作业、登高作业等；</w:t>
      </w:r>
    </w:p>
    <w:p w14:paraId="497AB83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360" w:leftChars="150" w:firstLine="480" w:firstLineChars="200"/>
        <w:jc w:val="both"/>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4.承包人在大修中所用吊具、施工机具、工器具、材料、安全措施等均由承包人自行准备,</w:t>
      </w:r>
      <w:r>
        <w:rPr>
          <w:rFonts w:hint="eastAsia" w:ascii="宋体" w:hAnsi="宋体" w:eastAsia="宋体" w:cs="宋体"/>
          <w:bCs/>
          <w:color w:val="auto"/>
          <w:kern w:val="0"/>
          <w:sz w:val="24"/>
          <w:szCs w:val="24"/>
          <w:highlight w:val="none"/>
          <w:lang w:val="en-US" w:eastAsia="zh-CN"/>
        </w:rPr>
        <w:t>施工过程中所有拆除下来的设备由承包人转运至发包人指定厂区内的位置，施工过程中杂物由承包人负责合法妥善处置。</w:t>
      </w:r>
    </w:p>
    <w:p w14:paraId="1E3B128A">
      <w:pPr>
        <w:keepNext w:val="0"/>
        <w:keepLines w:val="0"/>
        <w:pageBreakBefore w:val="0"/>
        <w:widowControl w:val="0"/>
        <w:kinsoku/>
        <w:wordWrap/>
        <w:overflowPunct/>
        <w:topLinePunct w:val="0"/>
        <w:autoSpaceDE/>
        <w:autoSpaceDN/>
        <w:bidi w:val="0"/>
        <w:adjustRightInd/>
        <w:snapToGrid/>
        <w:spacing w:line="360" w:lineRule="auto"/>
        <w:ind w:left="360" w:leftChars="15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5.本次招标的清单数量为3套共计60个</w:t>
      </w:r>
      <w:r>
        <w:rPr>
          <w:rFonts w:hint="eastAsia" w:ascii="Times New Roman" w:hAnsi="Times New Roman" w:cs="Times New Roman"/>
          <w:b w:val="0"/>
          <w:bCs w:val="0"/>
          <w:color w:val="auto"/>
          <w:spacing w:val="-5"/>
          <w:kern w:val="0"/>
          <w:highlight w:val="none"/>
          <w:lang w:val="en-US" w:eastAsia="zh-CN"/>
        </w:rPr>
        <w:t>布袋净气室防腐</w:t>
      </w:r>
      <w:r>
        <w:rPr>
          <w:rFonts w:hint="eastAsia" w:ascii="宋体" w:hAnsi="宋体" w:eastAsia="宋体" w:cs="宋体"/>
          <w:color w:val="auto"/>
          <w:sz w:val="24"/>
          <w:szCs w:val="24"/>
          <w:highlight w:val="none"/>
          <w:lang w:val="en-US" w:eastAsia="zh-CN"/>
        </w:rPr>
        <w:t>大修所需的数量，内容包含</w:t>
      </w:r>
      <w:r>
        <w:rPr>
          <w:rFonts w:hint="eastAsia" w:ascii="宋体" w:hAnsi="宋体" w:cs="宋体"/>
          <w:b w:val="0"/>
          <w:bCs w:val="0"/>
          <w:sz w:val="24"/>
          <w:szCs w:val="24"/>
          <w:lang w:val="en-US" w:eastAsia="zh-CN"/>
        </w:rPr>
        <w:t>净气室防腐、净气室内盖板拆旧换新、净气室外盖板拆旧换新、净气室密封条拆旧换新、净气室人孔门拆旧换新、净气室盖板夹层保温棉被拆旧换新、净气室喷吹管、喷嘴破损拆旧换新、净气室喷吹管弯管破损拆旧换新、净气室箱体腐蚀穿孔补焊钢板修复</w:t>
      </w:r>
      <w:r>
        <w:rPr>
          <w:rFonts w:hint="eastAsia" w:ascii="宋体" w:hAnsi="宋体" w:eastAsia="宋体" w:cs="宋体"/>
          <w:color w:val="auto"/>
          <w:sz w:val="24"/>
          <w:szCs w:val="24"/>
          <w:highlight w:val="none"/>
          <w:lang w:val="en-US" w:eastAsia="zh-CN"/>
        </w:rPr>
        <w:t>。</w:t>
      </w:r>
    </w:p>
    <w:p w14:paraId="253F2905">
      <w:pPr>
        <w:keepNext w:val="0"/>
        <w:keepLines w:val="0"/>
        <w:pageBreakBefore w:val="0"/>
        <w:widowControl w:val="0"/>
        <w:kinsoku/>
        <w:wordWrap/>
        <w:overflowPunct/>
        <w:topLinePunct w:val="0"/>
        <w:autoSpaceDE/>
        <w:autoSpaceDN/>
        <w:bidi w:val="0"/>
        <w:adjustRightInd/>
        <w:snapToGrid/>
        <w:spacing w:line="360" w:lineRule="auto"/>
        <w:ind w:left="360" w:leftChars="15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发包人提供的附件图纸为原厂图纸，仅供参考，具体部件设计制作需承包人到现场进行复核，未经发包人书面同意不得更改原设计图纸，所供货物与现场需求无法匹配的，由承包人负责换货至满足现场使用为止。</w:t>
      </w:r>
    </w:p>
    <w:p w14:paraId="7586F2FC">
      <w:pPr>
        <w:keepNext w:val="0"/>
        <w:keepLines w:val="0"/>
        <w:pageBreakBefore w:val="0"/>
        <w:widowControl w:val="0"/>
        <w:kinsoku/>
        <w:wordWrap/>
        <w:overflowPunct/>
        <w:topLinePunct w:val="0"/>
        <w:autoSpaceDE/>
        <w:autoSpaceDN/>
        <w:bidi w:val="0"/>
        <w:adjustRightInd/>
        <w:snapToGrid/>
        <w:spacing w:line="360" w:lineRule="auto"/>
        <w:ind w:left="360" w:leftChars="15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7.大修期间，承包人负责施工范围内所有的现场卫生清理、现场环氧地坪保护、进场道路准备等。其中环氧地坪保护需要铺设橡胶垫，100kg以上重物须额外增加垫木。环氧地坪损坏处由承包人负责修复。</w:t>
      </w:r>
    </w:p>
    <w:p w14:paraId="6E26A9BE">
      <w:pPr>
        <w:keepNext w:val="0"/>
        <w:keepLines w:val="0"/>
        <w:pageBreakBefore w:val="0"/>
        <w:widowControl w:val="0"/>
        <w:kinsoku/>
        <w:wordWrap/>
        <w:overflowPunct/>
        <w:topLinePunct w:val="0"/>
        <w:autoSpaceDE/>
        <w:autoSpaceDN/>
        <w:bidi w:val="0"/>
        <w:adjustRightInd/>
        <w:snapToGrid/>
        <w:spacing w:line="360" w:lineRule="auto"/>
        <w:ind w:left="360" w:leftChars="15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承包人根据发包人要求提交派到现场服务的施工人员名单及到场时间，发包人予以确认。承包人派到现场服务的施工人员应是有实践经验、可胜任此项工作的人员。承包人派到现场服务的施工人员进行特殊作业（动火作业，高处作业等）时需要遵守杭州临江环境能源有限公司特殊作业安全管理办法，特殊作业人员需持证上岗。发包人有权提出更换不符合要求的承包人现场服务人员，承包人应根据现场需要，重新选派发包人认可的服务人员。</w:t>
      </w:r>
    </w:p>
    <w:p w14:paraId="6F00052D">
      <w:pPr>
        <w:keepNext w:val="0"/>
        <w:keepLines w:val="0"/>
        <w:pageBreakBefore w:val="0"/>
        <w:widowControl/>
        <w:kinsoku/>
        <w:wordWrap/>
        <w:overflowPunct/>
        <w:topLinePunct w:val="0"/>
        <w:autoSpaceDE/>
        <w:autoSpaceDN/>
        <w:bidi w:val="0"/>
        <w:adjustRightInd w:val="0"/>
        <w:snapToGrid w:val="0"/>
        <w:spacing w:after="0" w:afterLines="0" w:line="360" w:lineRule="auto"/>
        <w:ind w:left="360" w:leftChars="150" w:firstLine="480" w:firstLineChars="20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9.</w:t>
      </w:r>
      <w:r>
        <w:rPr>
          <w:rFonts w:hint="eastAsia" w:ascii="宋体" w:hAnsi="宋体" w:eastAsia="宋体" w:cs="宋体"/>
          <w:color w:val="auto"/>
          <w:sz w:val="24"/>
          <w:szCs w:val="24"/>
          <w:highlight w:val="none"/>
          <w:lang w:val="en-US" w:eastAsia="zh-CN"/>
        </w:rPr>
        <w:t>承包人的</w:t>
      </w:r>
      <w:r>
        <w:rPr>
          <w:rFonts w:hint="eastAsia" w:ascii="宋体" w:hAnsi="宋体" w:eastAsia="宋体" w:cs="宋体"/>
          <w:kern w:val="0"/>
          <w:sz w:val="24"/>
          <w:szCs w:val="24"/>
          <w:highlight w:val="none"/>
          <w:lang w:val="en-US" w:eastAsia="zh-CN" w:bidi="ar-SA"/>
        </w:rPr>
        <w:t>作业人员必须经过入厂培训考试，作业前办理相关工作票。施工过程中严格按照施工方案及安全规程进行作业。</w:t>
      </w:r>
    </w:p>
    <w:p w14:paraId="687CBDC7">
      <w:pPr>
        <w:keepNext w:val="0"/>
        <w:keepLines w:val="0"/>
        <w:pageBreakBefore w:val="0"/>
        <w:widowControl/>
        <w:kinsoku/>
        <w:wordWrap/>
        <w:overflowPunct/>
        <w:topLinePunct w:val="0"/>
        <w:autoSpaceDE/>
        <w:autoSpaceDN/>
        <w:bidi w:val="0"/>
        <w:adjustRightInd w:val="0"/>
        <w:snapToGrid w:val="0"/>
        <w:spacing w:after="0" w:afterLines="0" w:line="360" w:lineRule="auto"/>
        <w:ind w:left="360" w:leftChars="15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10.技术交底：</w:t>
      </w:r>
      <w:r>
        <w:rPr>
          <w:rFonts w:hint="eastAsia" w:ascii="宋体" w:hAnsi="宋体" w:eastAsia="宋体" w:cs="宋体"/>
          <w:color w:val="auto"/>
          <w:sz w:val="24"/>
          <w:szCs w:val="24"/>
          <w:highlight w:val="none"/>
          <w:lang w:val="en-US" w:eastAsia="zh-CN"/>
        </w:rPr>
        <w:t>承包人</w:t>
      </w:r>
      <w:r>
        <w:rPr>
          <w:rFonts w:hint="eastAsia" w:ascii="宋体" w:hAnsi="宋体" w:eastAsia="宋体" w:cs="宋体"/>
          <w:kern w:val="0"/>
          <w:sz w:val="24"/>
          <w:szCs w:val="24"/>
          <w:lang w:val="en-US" w:eastAsia="zh-CN" w:bidi="ar-SA"/>
        </w:rPr>
        <w:t>项目负责人将工程施工概况、施工方案、施工工艺、质量标准、安全技术措施等及时向有关施工人员进行详细技术交底；</w:t>
      </w:r>
    </w:p>
    <w:p w14:paraId="5BBCCB35">
      <w:pPr>
        <w:keepNext w:val="0"/>
        <w:keepLines w:val="0"/>
        <w:pageBreakBefore w:val="0"/>
        <w:widowControl/>
        <w:kinsoku/>
        <w:wordWrap/>
        <w:overflowPunct/>
        <w:topLinePunct w:val="0"/>
        <w:autoSpaceDE/>
        <w:autoSpaceDN/>
        <w:bidi w:val="0"/>
        <w:adjustRightInd w:val="0"/>
        <w:snapToGrid w:val="0"/>
        <w:spacing w:after="0" w:afterLines="0" w:line="360" w:lineRule="auto"/>
        <w:ind w:left="360" w:leftChars="15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11.安全技术交底：</w:t>
      </w:r>
      <w:r>
        <w:rPr>
          <w:rFonts w:hint="eastAsia" w:ascii="宋体" w:hAnsi="宋体" w:eastAsia="宋体" w:cs="宋体"/>
          <w:color w:val="auto"/>
          <w:sz w:val="24"/>
          <w:szCs w:val="24"/>
          <w:highlight w:val="none"/>
          <w:lang w:val="en-US" w:eastAsia="zh-CN"/>
        </w:rPr>
        <w:t>承包人</w:t>
      </w:r>
      <w:r>
        <w:rPr>
          <w:rFonts w:hint="eastAsia" w:ascii="宋体" w:hAnsi="宋体" w:eastAsia="宋体" w:cs="宋体"/>
          <w:kern w:val="0"/>
          <w:sz w:val="24"/>
          <w:szCs w:val="24"/>
          <w:lang w:val="en-US" w:eastAsia="zh-CN" w:bidi="ar-SA"/>
        </w:rPr>
        <w:t>专职安全员对现场施工人员及现场安全员进行安全技术措施交底；每天班组长对施工人员进行安全操作规程技术交底，完成班前喊话等教育工作。</w:t>
      </w:r>
    </w:p>
    <w:p w14:paraId="22219200">
      <w:pPr>
        <w:keepNext w:val="0"/>
        <w:keepLines w:val="0"/>
        <w:pageBreakBefore w:val="0"/>
        <w:widowControl/>
        <w:kinsoku/>
        <w:wordWrap/>
        <w:overflowPunct/>
        <w:topLinePunct w:val="0"/>
        <w:autoSpaceDE/>
        <w:autoSpaceDN/>
        <w:bidi w:val="0"/>
        <w:adjustRightInd w:val="0"/>
        <w:snapToGrid w:val="0"/>
        <w:spacing w:after="0" w:afterLines="0" w:line="360" w:lineRule="auto"/>
        <w:ind w:left="360" w:leftChars="150" w:firstLine="482" w:firstLineChars="200"/>
        <w:jc w:val="left"/>
        <w:textAlignment w:val="auto"/>
        <w:rPr>
          <w:rFonts w:hint="default" w:ascii="宋体" w:hAnsi="宋体" w:eastAsia="宋体" w:cs="宋体"/>
          <w:b/>
          <w:bCs/>
          <w:kern w:val="0"/>
          <w:sz w:val="24"/>
          <w:szCs w:val="24"/>
          <w:highlight w:val="none"/>
          <w:lang w:val="en-US" w:eastAsia="zh-CN" w:bidi="ar-SA"/>
        </w:rPr>
      </w:pPr>
      <w:bookmarkStart w:id="9" w:name="_Toc3657"/>
      <w:bookmarkStart w:id="10" w:name="_Toc9564"/>
      <w:bookmarkStart w:id="11" w:name="_Toc7182"/>
      <w:bookmarkStart w:id="12" w:name="_Toc19263"/>
      <w:r>
        <w:rPr>
          <w:rFonts w:hint="eastAsia" w:ascii="宋体" w:hAnsi="宋体" w:eastAsia="宋体" w:cs="宋体"/>
          <w:b/>
          <w:bCs/>
          <w:kern w:val="0"/>
          <w:sz w:val="24"/>
          <w:szCs w:val="24"/>
          <w:highlight w:val="none"/>
          <w:lang w:val="en-US" w:eastAsia="zh-CN" w:bidi="ar-SA"/>
        </w:rPr>
        <w:t>三、质量要求</w:t>
      </w:r>
    </w:p>
    <w:p w14:paraId="20DB5F3E">
      <w:pPr>
        <w:keepNext w:val="0"/>
        <w:keepLines w:val="0"/>
        <w:pageBreakBefore w:val="0"/>
        <w:widowControl w:val="0"/>
        <w:kinsoku/>
        <w:wordWrap/>
        <w:overflowPunct/>
        <w:topLinePunct w:val="0"/>
        <w:autoSpaceDE/>
        <w:autoSpaceDN/>
        <w:bidi w:val="0"/>
        <w:adjustRightInd/>
        <w:snapToGrid/>
        <w:spacing w:line="360" w:lineRule="auto"/>
        <w:ind w:left="360" w:leftChars="150" w:firstLine="48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4"/>
          <w:szCs w:val="24"/>
          <w:highlight w:val="none"/>
          <w:lang w:val="en-US" w:eastAsia="zh-CN"/>
        </w:rPr>
        <w:t>1.净气室</w:t>
      </w:r>
      <w:r>
        <w:rPr>
          <w:rFonts w:hint="default" w:ascii="宋体" w:hAnsi="宋体" w:eastAsia="宋体" w:cs="宋体"/>
          <w:color w:val="auto"/>
          <w:sz w:val="24"/>
          <w:szCs w:val="24"/>
          <w:highlight w:val="none"/>
          <w:lang w:val="en-US" w:eastAsia="zh-CN"/>
        </w:rPr>
        <w:t>内部接触烟气面焊缝要求内外满焊</w:t>
      </w:r>
      <w:r>
        <w:rPr>
          <w:rFonts w:hint="eastAsia" w:ascii="宋体" w:hAnsi="宋体" w:eastAsia="宋体" w:cs="宋体"/>
          <w:color w:val="auto"/>
          <w:sz w:val="24"/>
          <w:szCs w:val="24"/>
          <w:highlight w:val="none"/>
          <w:lang w:val="en-US" w:eastAsia="zh-CN"/>
        </w:rPr>
        <w:t>，焊接完成后需做荧光粉试验查漏。所有施工拼接、焊接按最新标准执行，如金属板拼接焊缝及坡口角度、粗糙度等，焊缝表面不应有裂纹、焊瘤、咬边、气孔、夹渣、弧坑、未焊满等缺陷。焊接材料标识清晰完整，须满足ND钢与ND钢、Q235B与ND钢、ND钢与316L的焊接要求。</w:t>
      </w:r>
    </w:p>
    <w:p w14:paraId="4F0C8F44">
      <w:pPr>
        <w:keepNext w:val="0"/>
        <w:keepLines w:val="0"/>
        <w:pageBreakBefore w:val="0"/>
        <w:widowControl w:val="0"/>
        <w:kinsoku/>
        <w:wordWrap/>
        <w:overflowPunct/>
        <w:topLinePunct w:val="0"/>
        <w:autoSpaceDE/>
        <w:autoSpaceDN/>
        <w:bidi w:val="0"/>
        <w:adjustRightInd/>
        <w:snapToGrid/>
        <w:spacing w:line="360" w:lineRule="auto"/>
        <w:ind w:left="360" w:leftChars="15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2.油漆要求：</w:t>
      </w:r>
    </w:p>
    <w:p w14:paraId="3C1BE17B">
      <w:pPr>
        <w:keepNext w:val="0"/>
        <w:keepLines w:val="0"/>
        <w:pageBreakBefore w:val="0"/>
        <w:widowControl w:val="0"/>
        <w:kinsoku/>
        <w:wordWrap/>
        <w:overflowPunct/>
        <w:topLinePunct w:val="0"/>
        <w:autoSpaceDE/>
        <w:autoSpaceDN/>
        <w:bidi w:val="0"/>
        <w:adjustRightInd/>
        <w:snapToGrid/>
        <w:spacing w:line="360" w:lineRule="auto"/>
        <w:ind w:left="360" w:leftChars="150" w:firstLine="480" w:firstLineChars="200"/>
        <w:textAlignment w:val="auto"/>
        <w:rPr>
          <w:rFonts w:hint="eastAsia" w:ascii="宋体" w:hAnsi="宋体" w:eastAsia="宋体" w:cs="宋体"/>
          <w:color w:val="auto"/>
          <w:sz w:val="24"/>
          <w:szCs w:val="24"/>
          <w:highlight w:val="none"/>
          <w:lang w:val="en-US" w:eastAsia="zh-CN"/>
        </w:rPr>
      </w:pPr>
      <w:bookmarkStart w:id="13" w:name="OLE_LINK3"/>
      <w:r>
        <w:rPr>
          <w:rFonts w:hint="eastAsia" w:ascii="宋体" w:hAnsi="宋体" w:eastAsia="宋体" w:cs="宋体"/>
          <w:color w:val="auto"/>
          <w:sz w:val="24"/>
          <w:szCs w:val="24"/>
          <w:highlight w:val="none"/>
          <w:lang w:val="en-US" w:eastAsia="zh-CN"/>
        </w:rPr>
        <w:t>（1）接触烟气面（内侧）底漆：改性石墨烯钛纳米高温防腐涂料（耐温200-500°C ）油漆150μm；</w:t>
      </w:r>
    </w:p>
    <w:p w14:paraId="4C7CE186">
      <w:pPr>
        <w:keepNext w:val="0"/>
        <w:keepLines w:val="0"/>
        <w:pageBreakBefore w:val="0"/>
        <w:widowControl w:val="0"/>
        <w:kinsoku/>
        <w:wordWrap/>
        <w:overflowPunct/>
        <w:topLinePunct w:val="0"/>
        <w:autoSpaceDE/>
        <w:autoSpaceDN/>
        <w:bidi w:val="0"/>
        <w:adjustRightInd/>
        <w:snapToGrid/>
        <w:spacing w:line="360" w:lineRule="auto"/>
        <w:ind w:left="360" w:leftChars="15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（2）接触烟气面（内侧）面漆：改性石墨烯钛纳米高温防腐涂料（耐温200-500°C ）油漆150μm；</w:t>
      </w:r>
    </w:p>
    <w:p w14:paraId="35ADB3E0">
      <w:pPr>
        <w:keepNext w:val="0"/>
        <w:keepLines w:val="0"/>
        <w:pageBreakBefore w:val="0"/>
        <w:widowControl w:val="0"/>
        <w:kinsoku/>
        <w:wordWrap/>
        <w:overflowPunct/>
        <w:topLinePunct w:val="0"/>
        <w:autoSpaceDE/>
        <w:autoSpaceDN/>
        <w:bidi w:val="0"/>
        <w:adjustRightInd/>
        <w:snapToGrid/>
        <w:spacing w:line="360" w:lineRule="auto"/>
        <w:ind w:left="360" w:leftChars="15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（3）接触保温面（外侧）底漆：改性石墨烯钛纳米高温防腐涂料（耐温200-500°C ）油漆150μm。</w:t>
      </w:r>
    </w:p>
    <w:p w14:paraId="38AA20B3">
      <w:pPr>
        <w:keepNext w:val="0"/>
        <w:keepLines w:val="0"/>
        <w:pageBreakBefore w:val="0"/>
        <w:widowControl w:val="0"/>
        <w:kinsoku/>
        <w:wordWrap/>
        <w:overflowPunct/>
        <w:topLinePunct w:val="0"/>
        <w:autoSpaceDE/>
        <w:autoSpaceDN/>
        <w:bidi w:val="0"/>
        <w:adjustRightInd/>
        <w:snapToGrid/>
        <w:spacing w:line="360" w:lineRule="auto"/>
        <w:ind w:left="360" w:leftChars="15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（4）接触保温面（外侧）面漆：改性石墨烯钛纳米高温防腐涂料（耐温200-500°C ）油漆150μm。</w:t>
      </w:r>
    </w:p>
    <w:p w14:paraId="63E88191">
      <w:pPr>
        <w:keepNext w:val="0"/>
        <w:keepLines w:val="0"/>
        <w:pageBreakBefore w:val="0"/>
        <w:widowControl w:val="0"/>
        <w:kinsoku/>
        <w:wordWrap/>
        <w:overflowPunct/>
        <w:topLinePunct w:val="0"/>
        <w:autoSpaceDE/>
        <w:autoSpaceDN/>
        <w:bidi w:val="0"/>
        <w:adjustRightInd/>
        <w:snapToGrid/>
        <w:spacing w:line="360" w:lineRule="auto"/>
        <w:ind w:left="360" w:leftChars="15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（5）布袋除尘器顶部区域：丙烯酸聚氨酯，厚度60um。</w:t>
      </w:r>
    </w:p>
    <w:bookmarkEnd w:id="13"/>
    <w:p w14:paraId="1C26BCDD">
      <w:pPr>
        <w:keepNext w:val="0"/>
        <w:keepLines w:val="0"/>
        <w:pageBreakBefore w:val="0"/>
        <w:widowControl w:val="0"/>
        <w:kinsoku/>
        <w:wordWrap/>
        <w:overflowPunct/>
        <w:topLinePunct w:val="0"/>
        <w:autoSpaceDE/>
        <w:autoSpaceDN/>
        <w:bidi w:val="0"/>
        <w:adjustRightInd/>
        <w:snapToGrid/>
        <w:spacing w:line="360" w:lineRule="auto"/>
        <w:ind w:left="360" w:leftChars="15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（6）所有设备油漆除需现场焊接处外，均需在加工厂内喷涂好后发至现场。</w:t>
      </w:r>
    </w:p>
    <w:p w14:paraId="1BC83068">
      <w:pPr>
        <w:keepNext w:val="0"/>
        <w:keepLines w:val="0"/>
        <w:pageBreakBefore w:val="0"/>
        <w:widowControl w:val="0"/>
        <w:kinsoku/>
        <w:wordWrap/>
        <w:overflowPunct/>
        <w:topLinePunct w:val="0"/>
        <w:autoSpaceDE/>
        <w:autoSpaceDN/>
        <w:bidi w:val="0"/>
        <w:adjustRightInd/>
        <w:snapToGrid w:val="0"/>
        <w:spacing w:line="360" w:lineRule="auto"/>
        <w:ind w:left="360" w:leftChars="150" w:firstLine="482" w:firstLineChars="200"/>
        <w:jc w:val="both"/>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▲四、验收标准：</w:t>
      </w:r>
    </w:p>
    <w:p w14:paraId="4FFF19CE">
      <w:pPr>
        <w:keepNext w:val="0"/>
        <w:keepLines w:val="0"/>
        <w:pageBreakBefore w:val="0"/>
        <w:widowControl w:val="0"/>
        <w:kinsoku/>
        <w:wordWrap/>
        <w:overflowPunct/>
        <w:topLinePunct w:val="0"/>
        <w:autoSpaceDE/>
        <w:autoSpaceDN/>
        <w:bidi w:val="0"/>
        <w:adjustRightInd/>
        <w:snapToGrid w:val="0"/>
        <w:spacing w:line="360" w:lineRule="auto"/>
        <w:ind w:left="360" w:leftChars="150" w:firstLine="480" w:firstLineChars="2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1.材料验收：承包人施工材料进场后，经发包人验收合格后方可施工，发包人有权采用光谱分析仪对材料成份进行检测，若不满足要求的，承包人无条件予以更换，但不得影响整体工期。</w:t>
      </w:r>
    </w:p>
    <w:p w14:paraId="123B0AB2">
      <w:pPr>
        <w:keepNext w:val="0"/>
        <w:keepLines w:val="0"/>
        <w:pageBreakBefore w:val="0"/>
        <w:widowControl w:val="0"/>
        <w:kinsoku/>
        <w:wordWrap/>
        <w:overflowPunct/>
        <w:topLinePunct w:val="0"/>
        <w:autoSpaceDE/>
        <w:autoSpaceDN/>
        <w:bidi w:val="0"/>
        <w:adjustRightInd/>
        <w:snapToGrid w:val="0"/>
        <w:spacing w:line="360" w:lineRule="auto"/>
        <w:ind w:left="360" w:leftChars="150" w:firstLine="480" w:firstLineChars="200"/>
        <w:jc w:val="both"/>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color w:val="auto"/>
          <w:kern w:val="0"/>
          <w:sz w:val="24"/>
          <w:szCs w:val="24"/>
          <w:highlight w:val="none"/>
          <w:lang w:val="en-US" w:eastAsia="zh-CN" w:bidi="ar-SA"/>
        </w:rPr>
        <w:t>2.每个</w:t>
      </w:r>
      <w:r>
        <w:rPr>
          <w:rFonts w:hint="eastAsia" w:ascii="宋体" w:hAnsi="宋体" w:eastAsia="宋体" w:cs="宋体"/>
          <w:snapToGrid/>
          <w:color w:val="auto"/>
          <w:kern w:val="2"/>
          <w:sz w:val="24"/>
          <w:szCs w:val="24"/>
          <w:lang w:val="en-US" w:eastAsia="zh-CN"/>
        </w:rPr>
        <w:t>净气室</w:t>
      </w:r>
      <w:r>
        <w:rPr>
          <w:rFonts w:hint="default" w:ascii="宋体" w:hAnsi="宋体" w:eastAsia="宋体" w:cs="宋体"/>
          <w:snapToGrid/>
          <w:color w:val="auto"/>
          <w:kern w:val="2"/>
          <w:sz w:val="24"/>
          <w:szCs w:val="24"/>
          <w:lang w:val="en-US" w:eastAsia="zh-CN"/>
        </w:rPr>
        <w:t>内部接触烟气面焊缝均为内外满焊，焊接完成后需做荧光粉试验</w:t>
      </w:r>
      <w:r>
        <w:rPr>
          <w:rFonts w:hint="eastAsia" w:ascii="宋体" w:hAnsi="宋体" w:eastAsia="宋体" w:cs="宋体"/>
          <w:snapToGrid/>
          <w:color w:val="auto"/>
          <w:kern w:val="2"/>
          <w:sz w:val="24"/>
          <w:szCs w:val="24"/>
          <w:lang w:val="en-US" w:eastAsia="zh-CN"/>
        </w:rPr>
        <w:t>无渗漏</w:t>
      </w:r>
      <w:r>
        <w:rPr>
          <w:rFonts w:hint="default" w:ascii="宋体" w:hAnsi="宋体" w:eastAsia="宋体" w:cs="宋体"/>
          <w:snapToGrid/>
          <w:color w:val="auto"/>
          <w:kern w:val="2"/>
          <w:sz w:val="24"/>
          <w:szCs w:val="24"/>
          <w:lang w:val="en-US" w:eastAsia="zh-CN"/>
        </w:rPr>
        <w:t xml:space="preserve">。 </w:t>
      </w:r>
    </w:p>
    <w:p w14:paraId="48EB05FD">
      <w:pPr>
        <w:keepNext w:val="0"/>
        <w:keepLines w:val="0"/>
        <w:pageBreakBefore w:val="0"/>
        <w:widowControl w:val="0"/>
        <w:kinsoku/>
        <w:wordWrap/>
        <w:overflowPunct/>
        <w:topLinePunct w:val="0"/>
        <w:autoSpaceDE/>
        <w:autoSpaceDN/>
        <w:bidi w:val="0"/>
        <w:adjustRightInd/>
        <w:snapToGrid w:val="0"/>
        <w:spacing w:line="360" w:lineRule="auto"/>
        <w:ind w:left="360" w:leftChars="150" w:firstLine="480" w:firstLineChars="2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snapToGrid/>
          <w:color w:val="auto"/>
          <w:kern w:val="2"/>
          <w:sz w:val="24"/>
          <w:szCs w:val="24"/>
          <w:lang w:val="en-US" w:eastAsia="zh-CN"/>
        </w:rPr>
        <w:t>3.防腐油漆</w:t>
      </w:r>
      <w:r>
        <w:rPr>
          <w:rFonts w:hint="eastAsia" w:ascii="宋体" w:hAnsi="宋体" w:eastAsia="宋体" w:cs="宋体"/>
          <w:color w:val="auto"/>
          <w:spacing w:val="0"/>
          <w:w w:val="100"/>
          <w:position w:val="0"/>
          <w:sz w:val="24"/>
          <w:szCs w:val="24"/>
        </w:rPr>
        <w:t>色泽均匀，无流挂</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rPr>
        <w:t>无漆雾</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rPr>
        <w:t>无污染</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rPr>
        <w:t>无针孔、无气泡、无漏涂等缺陷，干膜厚度达到要求</w:t>
      </w:r>
      <w:r>
        <w:rPr>
          <w:rFonts w:hint="eastAsia" w:ascii="宋体" w:hAnsi="宋体" w:eastAsia="宋体" w:cs="宋体"/>
          <w:snapToGrid/>
          <w:color w:val="auto"/>
          <w:kern w:val="2"/>
          <w:sz w:val="24"/>
          <w:szCs w:val="24"/>
          <w:lang w:val="en-US" w:eastAsia="zh-CN"/>
        </w:rPr>
        <w:t>。</w:t>
      </w:r>
    </w:p>
    <w:p w14:paraId="000BEE8D">
      <w:pPr>
        <w:keepNext w:val="0"/>
        <w:keepLines w:val="0"/>
        <w:pageBreakBefore w:val="0"/>
        <w:widowControl w:val="0"/>
        <w:kinsoku/>
        <w:wordWrap/>
        <w:overflowPunct/>
        <w:topLinePunct w:val="0"/>
        <w:autoSpaceDE/>
        <w:autoSpaceDN/>
        <w:bidi w:val="0"/>
        <w:adjustRightInd/>
        <w:snapToGrid w:val="0"/>
        <w:spacing w:line="360" w:lineRule="auto"/>
        <w:ind w:left="360" w:leftChars="15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4.施工竣工验收：每套净气室大修结束后，</w:t>
      </w:r>
      <w:r>
        <w:rPr>
          <w:rFonts w:hint="default" w:ascii="宋体" w:hAnsi="宋体" w:eastAsia="宋体" w:cs="宋体"/>
          <w:snapToGrid/>
          <w:color w:val="auto"/>
          <w:kern w:val="2"/>
          <w:sz w:val="24"/>
          <w:szCs w:val="24"/>
          <w:lang w:val="en-US" w:eastAsia="zh-CN"/>
        </w:rPr>
        <w:t>所有功能及外观与原设备保持一致</w:t>
      </w:r>
      <w:r>
        <w:rPr>
          <w:rFonts w:hint="eastAsia" w:ascii="宋体" w:hAnsi="宋体" w:eastAsia="宋体" w:cs="宋体"/>
          <w:snapToGrid/>
          <w:color w:val="auto"/>
          <w:kern w:val="2"/>
          <w:sz w:val="24"/>
          <w:szCs w:val="24"/>
          <w:lang w:val="en-US" w:eastAsia="zh-CN"/>
        </w:rPr>
        <w:t>，</w:t>
      </w:r>
      <w:r>
        <w:rPr>
          <w:rFonts w:hint="eastAsia" w:ascii="宋体" w:hAnsi="宋体" w:eastAsia="宋体" w:cs="宋体"/>
          <w:color w:val="auto"/>
          <w:kern w:val="0"/>
          <w:sz w:val="24"/>
          <w:szCs w:val="24"/>
          <w:highlight w:val="none"/>
          <w:lang w:val="en-US" w:eastAsia="zh-CN" w:bidi="ar-SA"/>
        </w:rPr>
        <w:t>组织设备验收试运，试运行需连续运行168小时，试运期间设备需满足</w:t>
      </w:r>
      <w:r>
        <w:rPr>
          <w:rFonts w:hint="eastAsia" w:ascii="宋体" w:hAnsi="宋体" w:eastAsia="宋体" w:cs="宋体"/>
          <w:snapToGrid/>
          <w:color w:val="auto"/>
          <w:kern w:val="2"/>
          <w:sz w:val="24"/>
          <w:szCs w:val="24"/>
          <w:lang w:val="en-US" w:eastAsia="zh-CN"/>
        </w:rPr>
        <w:t>无漏风</w:t>
      </w:r>
      <w:r>
        <w:rPr>
          <w:rFonts w:hint="eastAsia" w:ascii="宋体" w:hAnsi="宋体" w:eastAsia="宋体" w:cs="宋体"/>
          <w:color w:val="auto"/>
          <w:kern w:val="0"/>
          <w:sz w:val="24"/>
          <w:szCs w:val="24"/>
          <w:highlight w:val="none"/>
          <w:lang w:val="en-US" w:eastAsia="zh-CN" w:bidi="ar-SA"/>
        </w:rPr>
        <w:t>视为施工竣工验收合格。</w:t>
      </w:r>
    </w:p>
    <w:p w14:paraId="5410B7B4">
      <w:pPr>
        <w:keepNext w:val="0"/>
        <w:keepLines w:val="0"/>
        <w:pageBreakBefore w:val="0"/>
        <w:widowControl w:val="0"/>
        <w:kinsoku/>
        <w:wordWrap/>
        <w:overflowPunct/>
        <w:topLinePunct w:val="0"/>
        <w:autoSpaceDE/>
        <w:autoSpaceDN/>
        <w:bidi w:val="0"/>
        <w:adjustRightInd/>
        <w:snapToGrid w:val="0"/>
        <w:spacing w:line="360" w:lineRule="auto"/>
        <w:ind w:left="360" w:leftChars="150" w:firstLine="482" w:firstLineChars="20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▲五、质保期：</w:t>
      </w:r>
    </w:p>
    <w:p w14:paraId="3464F471">
      <w:pPr>
        <w:keepNext w:val="0"/>
        <w:keepLines w:val="0"/>
        <w:pageBreakBefore w:val="0"/>
        <w:widowControl/>
        <w:kinsoku/>
        <w:wordWrap/>
        <w:overflowPunct/>
        <w:topLinePunct w:val="0"/>
        <w:autoSpaceDE/>
        <w:autoSpaceDN/>
        <w:bidi w:val="0"/>
        <w:adjustRightInd w:val="0"/>
        <w:snapToGrid w:val="0"/>
        <w:spacing w:after="0" w:afterLines="0" w:line="360" w:lineRule="auto"/>
        <w:ind w:left="360" w:leftChars="15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每套净气室防腐施工质保期为竣工验收合格后12个月。在质保期内，</w:t>
      </w:r>
      <w:r>
        <w:rPr>
          <w:rFonts w:hint="default" w:ascii="宋体" w:hAnsi="宋体" w:eastAsia="宋体" w:cs="宋体"/>
          <w:color w:val="auto"/>
          <w:kern w:val="0"/>
          <w:sz w:val="24"/>
          <w:szCs w:val="24"/>
          <w:highlight w:val="none"/>
          <w:lang w:val="en-US" w:eastAsia="zh-CN" w:bidi="ar-SA"/>
        </w:rPr>
        <w:t>更换后</w:t>
      </w:r>
      <w:r>
        <w:rPr>
          <w:rFonts w:hint="eastAsia" w:ascii="宋体" w:hAnsi="宋体" w:eastAsia="宋体" w:cs="宋体"/>
          <w:color w:val="auto"/>
          <w:kern w:val="0"/>
          <w:sz w:val="24"/>
          <w:szCs w:val="24"/>
          <w:highlight w:val="none"/>
          <w:lang w:val="en-US" w:eastAsia="zh-CN" w:bidi="ar-SA"/>
        </w:rPr>
        <w:t>净气室</w:t>
      </w:r>
      <w:r>
        <w:rPr>
          <w:rFonts w:hint="default" w:ascii="宋体" w:hAnsi="宋体" w:eastAsia="宋体" w:cs="宋体"/>
          <w:color w:val="auto"/>
          <w:kern w:val="0"/>
          <w:sz w:val="24"/>
          <w:szCs w:val="24"/>
          <w:highlight w:val="none"/>
          <w:lang w:val="en-US" w:eastAsia="zh-CN" w:bidi="ar-SA"/>
        </w:rPr>
        <w:t>如出现腐蚀、生锈、穿孔</w:t>
      </w:r>
      <w:r>
        <w:rPr>
          <w:rFonts w:hint="eastAsia" w:ascii="宋体" w:hAnsi="宋体" w:eastAsia="宋体" w:cs="宋体"/>
          <w:color w:val="auto"/>
          <w:kern w:val="0"/>
          <w:sz w:val="24"/>
          <w:szCs w:val="24"/>
          <w:highlight w:val="none"/>
          <w:lang w:val="en-US" w:eastAsia="zh-CN" w:bidi="ar-SA"/>
        </w:rPr>
        <w:t>漏风</w:t>
      </w:r>
      <w:r>
        <w:rPr>
          <w:rFonts w:hint="default" w:ascii="宋体" w:hAnsi="宋体" w:eastAsia="宋体" w:cs="宋体"/>
          <w:color w:val="auto"/>
          <w:kern w:val="0"/>
          <w:sz w:val="24"/>
          <w:szCs w:val="24"/>
          <w:highlight w:val="none"/>
          <w:lang w:val="en-US" w:eastAsia="zh-CN" w:bidi="ar-SA"/>
        </w:rPr>
        <w:t>等</w:t>
      </w:r>
      <w:r>
        <w:rPr>
          <w:rFonts w:hint="eastAsia" w:ascii="宋体" w:hAnsi="宋体" w:eastAsia="宋体" w:cs="宋体"/>
          <w:color w:val="auto"/>
          <w:kern w:val="0"/>
          <w:sz w:val="24"/>
          <w:szCs w:val="24"/>
          <w:highlight w:val="none"/>
          <w:lang w:val="en-US" w:eastAsia="zh-CN" w:bidi="ar-SA"/>
        </w:rPr>
        <w:t>现象，承包人无条件予以更换，若造成发包人额外损失的，承包人需要全额承担发包人损失。</w:t>
      </w:r>
      <w:bookmarkEnd w:id="9"/>
      <w:bookmarkEnd w:id="10"/>
      <w:bookmarkEnd w:id="11"/>
      <w:bookmarkEnd w:id="12"/>
    </w:p>
    <w:p w14:paraId="44099738">
      <w:pPr>
        <w:snapToGrid/>
        <w:spacing w:line="400" w:lineRule="exact"/>
        <w:ind w:left="30" w:right="21" w:firstLine="480" w:firstLineChars="200"/>
        <w:rPr>
          <w:rFonts w:ascii="Times New Roman" w:hAnsi="Times New Roman" w:eastAsia="宋体" w:cs="Times New Roman"/>
          <w:color w:val="auto"/>
          <w:szCs w:val="24"/>
        </w:rPr>
        <w:sectPr>
          <w:pgSz w:w="11906" w:h="16838"/>
          <w:pgMar w:top="1440" w:right="1083" w:bottom="1440" w:left="1083" w:header="850" w:footer="850" w:gutter="0"/>
          <w:cols w:space="0" w:num="1"/>
        </w:sectPr>
      </w:pPr>
      <w:r>
        <w:rPr>
          <w:rFonts w:hint="eastAsia" w:ascii="宋体" w:hAnsi="宋体" w:eastAsia="宋体" w:cs="宋体"/>
          <w:color w:val="auto"/>
          <w:sz w:val="24"/>
          <w:szCs w:val="24"/>
          <w:highlight w:val="none"/>
        </w:rPr>
        <w:t>注：招标文件中打▲内容为实质性要求，不允许有负偏离，否则按无效标处理。</w:t>
      </w:r>
      <w:r>
        <w:rPr>
          <w:rFonts w:hint="eastAsia" w:ascii="宋体" w:hAnsi="宋体" w:eastAsia="宋体" w:cs="宋体"/>
          <w:b/>
          <w:bCs/>
          <w:color w:val="auto"/>
          <w:sz w:val="24"/>
          <w:szCs w:val="24"/>
          <w:highlight w:val="none"/>
          <w:lang w:eastAsia="zh-CN"/>
        </w:rPr>
        <w:t>承包人</w:t>
      </w:r>
      <w:r>
        <w:rPr>
          <w:rFonts w:hint="eastAsia" w:ascii="宋体" w:hAnsi="宋体" w:eastAsia="宋体" w:cs="宋体"/>
          <w:b/>
          <w:bCs/>
          <w:color w:val="auto"/>
          <w:sz w:val="24"/>
          <w:szCs w:val="24"/>
          <w:highlight w:val="none"/>
        </w:rPr>
        <w:t>在投标文件中应根据以上要求在技术标中承诺响应</w:t>
      </w:r>
      <w:r>
        <w:rPr>
          <w:rFonts w:hint="eastAsia" w:ascii="宋体" w:hAnsi="宋体" w:eastAsia="宋体" w:cs="宋体"/>
          <w:b/>
          <w:bCs/>
          <w:color w:val="auto"/>
          <w:sz w:val="24"/>
          <w:szCs w:val="24"/>
          <w:highlight w:val="none"/>
          <w:lang w:eastAsia="zh-CN"/>
        </w:rPr>
        <w:t>，承诺函格式详见响应文件格式。</w:t>
      </w:r>
    </w:p>
    <w:p w14:paraId="0DFE20B9">
      <w:pPr>
        <w:pStyle w:val="2"/>
        <w:kinsoku/>
        <w:topLinePunct/>
        <w:rPr>
          <w:rFonts w:ascii="Times New Roman" w:hAnsi="Times New Roman" w:cs="Times New Roman"/>
          <w:b w:val="0"/>
          <w:bCs w:val="0"/>
          <w:color w:val="auto"/>
        </w:rPr>
      </w:pPr>
      <w:r>
        <w:rPr>
          <w:rFonts w:ascii="Times New Roman" w:hAnsi="Times New Roman" w:cs="Times New Roman"/>
          <w:b w:val="0"/>
          <w:bCs w:val="0"/>
          <w:color w:val="auto"/>
          <w:spacing w:val="-3"/>
          <w14:textOutline w14:w="8712" w14:cap="flat" w14:cmpd="sng" w14:algn="ctr">
            <w14:solidFill>
              <w14:srgbClr w14:val="000000"/>
            </w14:solidFill>
            <w14:prstDash w14:val="solid"/>
            <w14:miter w14:val="0"/>
          </w14:textOutline>
        </w:rPr>
        <w:t>第八章 响应文件格式</w:t>
      </w:r>
    </w:p>
    <w:p w14:paraId="146FD6A3">
      <w:pPr>
        <w:kinsoku/>
        <w:wordWrap w:val="0"/>
        <w:topLinePunct/>
        <w:autoSpaceDE/>
        <w:autoSpaceDN/>
        <w:adjustRightInd/>
        <w:snapToGrid/>
        <w:ind w:firstLine="420" w:firstLineChars="200"/>
        <w:rPr>
          <w:rFonts w:ascii="Times New Roman" w:hAnsi="Times New Roman" w:cs="Times New Roman"/>
          <w:color w:val="auto"/>
          <w:sz w:val="21"/>
        </w:rPr>
      </w:pPr>
    </w:p>
    <w:p w14:paraId="6EBDCF1C">
      <w:pPr>
        <w:kinsoku/>
        <w:topLinePunct/>
        <w:rPr>
          <w:rFonts w:ascii="Times New Roman" w:hAnsi="Times New Roman" w:cs="Times New Roman"/>
          <w:color w:val="auto"/>
        </w:rPr>
      </w:pPr>
    </w:p>
    <w:p w14:paraId="7934A6C2">
      <w:pPr>
        <w:widowControl w:val="0"/>
        <w:spacing w:line="360" w:lineRule="auto"/>
        <w:ind w:firstLine="482" w:firstLineChars="150"/>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1.资信标及资格审查格式</w:t>
      </w:r>
    </w:p>
    <w:p w14:paraId="679B5B97">
      <w:pPr>
        <w:widowControl w:val="0"/>
        <w:spacing w:line="360" w:lineRule="auto"/>
        <w:ind w:firstLine="482" w:firstLineChars="15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2</w:t>
      </w:r>
      <w:r>
        <w:rPr>
          <w:rFonts w:ascii="Times New Roman" w:hAnsi="Times New Roman" w:eastAsia="仿宋_GB2312" w:cs="Times New Roman"/>
          <w:color w:val="auto"/>
          <w:sz w:val="32"/>
          <w:szCs w:val="32"/>
        </w:rPr>
        <w:t>.</w:t>
      </w:r>
      <w:r>
        <w:rPr>
          <w:rFonts w:ascii="Times New Roman" w:hAnsi="Times New Roman" w:eastAsia="仿宋_GB2312" w:cs="Times New Roman"/>
          <w:b/>
          <w:bCs/>
          <w:color w:val="auto"/>
          <w:sz w:val="32"/>
          <w:szCs w:val="32"/>
        </w:rPr>
        <w:t>技术标格式</w:t>
      </w:r>
    </w:p>
    <w:p w14:paraId="23A34889">
      <w:pPr>
        <w:widowControl w:val="0"/>
        <w:spacing w:line="360" w:lineRule="auto"/>
        <w:ind w:firstLine="482" w:firstLineChars="15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3.商务标格式</w:t>
      </w:r>
    </w:p>
    <w:p w14:paraId="0B6091CF">
      <w:pPr>
        <w:kinsoku/>
        <w:topLinePunct/>
        <w:adjustRightInd/>
        <w:rPr>
          <w:rFonts w:ascii="Times New Roman" w:hAnsi="Times New Roman" w:eastAsia="仿宋" w:cs="Times New Roman"/>
          <w:color w:val="auto"/>
          <w:spacing w:val="4"/>
          <w:sz w:val="30"/>
          <w:szCs w:val="30"/>
        </w:rPr>
      </w:pPr>
    </w:p>
    <w:p w14:paraId="1E6AB93D">
      <w:pPr>
        <w:kinsoku/>
        <w:topLinePunct/>
        <w:rPr>
          <w:rFonts w:ascii="Times New Roman" w:hAnsi="Times New Roman" w:cs="Times New Roman"/>
          <w:color w:val="auto"/>
        </w:rPr>
      </w:pPr>
    </w:p>
    <w:p w14:paraId="23A69F08">
      <w:pPr>
        <w:kinsoku/>
        <w:wordWrap w:val="0"/>
        <w:topLinePunct/>
        <w:autoSpaceDE/>
        <w:autoSpaceDN/>
        <w:adjustRightInd/>
        <w:snapToGrid/>
        <w:ind w:firstLine="616" w:firstLineChars="200"/>
        <w:rPr>
          <w:rFonts w:ascii="Times New Roman" w:hAnsi="Times New Roman" w:eastAsia="仿宋" w:cs="Times New Roman"/>
          <w:color w:val="auto"/>
          <w:spacing w:val="4"/>
          <w:sz w:val="30"/>
          <w:szCs w:val="30"/>
        </w:rPr>
      </w:pPr>
    </w:p>
    <w:p w14:paraId="7BCB5237">
      <w:pPr>
        <w:kinsoku/>
        <w:wordWrap w:val="0"/>
        <w:topLinePunct/>
        <w:autoSpaceDE/>
        <w:autoSpaceDN/>
        <w:adjustRightInd/>
        <w:snapToGrid/>
        <w:ind w:firstLine="616" w:firstLineChars="200"/>
        <w:rPr>
          <w:rFonts w:ascii="Times New Roman" w:hAnsi="Times New Roman" w:eastAsia="仿宋" w:cs="Times New Roman"/>
          <w:color w:val="auto"/>
          <w:spacing w:val="4"/>
          <w:sz w:val="30"/>
          <w:szCs w:val="30"/>
        </w:rPr>
      </w:pPr>
    </w:p>
    <w:p w14:paraId="4F5A687C">
      <w:pPr>
        <w:kinsoku/>
        <w:wordWrap w:val="0"/>
        <w:topLinePunct/>
        <w:autoSpaceDE/>
        <w:autoSpaceDN/>
        <w:adjustRightInd/>
        <w:snapToGrid/>
        <w:ind w:firstLine="616" w:firstLineChars="200"/>
        <w:rPr>
          <w:rFonts w:ascii="Times New Roman" w:hAnsi="Times New Roman" w:eastAsia="仿宋" w:cs="Times New Roman"/>
          <w:color w:val="auto"/>
          <w:spacing w:val="4"/>
          <w:sz w:val="30"/>
          <w:szCs w:val="30"/>
        </w:rPr>
      </w:pPr>
    </w:p>
    <w:p w14:paraId="333AE8FA">
      <w:pPr>
        <w:kinsoku/>
        <w:wordWrap w:val="0"/>
        <w:topLinePunct/>
        <w:autoSpaceDE/>
        <w:autoSpaceDN/>
        <w:adjustRightInd/>
        <w:snapToGrid/>
        <w:ind w:firstLine="616" w:firstLineChars="200"/>
        <w:rPr>
          <w:rFonts w:ascii="Times New Roman" w:hAnsi="Times New Roman" w:eastAsia="仿宋" w:cs="Times New Roman"/>
          <w:color w:val="auto"/>
          <w:spacing w:val="4"/>
          <w:sz w:val="30"/>
          <w:szCs w:val="30"/>
        </w:rPr>
      </w:pPr>
    </w:p>
    <w:p w14:paraId="20EF1B4B">
      <w:pPr>
        <w:kinsoku/>
        <w:wordWrap w:val="0"/>
        <w:topLinePunct/>
        <w:autoSpaceDE/>
        <w:autoSpaceDN/>
        <w:adjustRightInd/>
        <w:snapToGrid/>
        <w:ind w:firstLine="616" w:firstLineChars="200"/>
        <w:rPr>
          <w:rFonts w:ascii="Times New Roman" w:hAnsi="Times New Roman" w:eastAsia="仿宋" w:cs="Times New Roman"/>
          <w:color w:val="auto"/>
          <w:spacing w:val="4"/>
          <w:sz w:val="30"/>
          <w:szCs w:val="30"/>
        </w:rPr>
      </w:pPr>
    </w:p>
    <w:p w14:paraId="0B817063">
      <w:pPr>
        <w:kinsoku/>
        <w:wordWrap w:val="0"/>
        <w:topLinePunct/>
        <w:autoSpaceDE/>
        <w:autoSpaceDN/>
        <w:adjustRightInd/>
        <w:snapToGrid/>
        <w:ind w:firstLine="616" w:firstLineChars="200"/>
        <w:rPr>
          <w:rFonts w:ascii="Times New Roman" w:hAnsi="Times New Roman" w:eastAsia="仿宋" w:cs="Times New Roman"/>
          <w:color w:val="auto"/>
          <w:spacing w:val="4"/>
          <w:sz w:val="30"/>
          <w:szCs w:val="30"/>
        </w:rPr>
      </w:pPr>
    </w:p>
    <w:p w14:paraId="14C34D15">
      <w:pPr>
        <w:kinsoku/>
        <w:topLinePunct/>
        <w:spacing w:line="360" w:lineRule="auto"/>
        <w:jc w:val="distribute"/>
        <w:rPr>
          <w:rFonts w:ascii="Times New Roman" w:hAnsi="Times New Roman" w:cs="Times New Roman"/>
          <w:color w:val="auto"/>
        </w:rPr>
      </w:pPr>
    </w:p>
    <w:p w14:paraId="0332051D">
      <w:pPr>
        <w:kinsoku/>
        <w:topLinePunct/>
        <w:adjustRightInd/>
        <w:ind w:firstLine="596" w:firstLineChars="200"/>
        <w:rPr>
          <w:rFonts w:ascii="Times New Roman" w:hAnsi="Times New Roman" w:eastAsia="仿宋" w:cs="Times New Roman"/>
          <w:color w:val="auto"/>
          <w:spacing w:val="-1"/>
          <w:sz w:val="30"/>
          <w:szCs w:val="30"/>
          <w14:textOutline w14:w="5448" w14:cap="flat" w14:cmpd="sng" w14:algn="ctr">
            <w14:solidFill>
              <w14:srgbClr w14:val="000000"/>
            </w14:solidFill>
            <w14:prstDash w14:val="solid"/>
            <w14:miter w14:val="0"/>
          </w14:textOutline>
        </w:rPr>
      </w:pPr>
    </w:p>
    <w:p w14:paraId="360230E7">
      <w:pPr>
        <w:kinsoku/>
        <w:topLinePunct/>
        <w:jc w:val="both"/>
        <w:rPr>
          <w:rFonts w:ascii="Times New Roman" w:hAnsi="Times New Roman" w:cs="Times New Roman"/>
          <w:b/>
          <w:bCs/>
          <w:color w:val="auto"/>
          <w:sz w:val="32"/>
          <w:szCs w:val="32"/>
          <w:lang w:val="zh-CN"/>
        </w:rPr>
      </w:pPr>
    </w:p>
    <w:p w14:paraId="119180F4">
      <w:pPr>
        <w:kinsoku/>
        <w:topLinePunct/>
        <w:adjustRightInd/>
        <w:spacing w:before="1" w:line="218" w:lineRule="auto"/>
        <w:jc w:val="center"/>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pPr>
    </w:p>
    <w:p w14:paraId="2A462F29">
      <w:pPr>
        <w:kinsoku/>
        <w:topLinePunct/>
        <w:adjustRightInd/>
        <w:spacing w:before="1" w:line="218" w:lineRule="auto"/>
        <w:jc w:val="center"/>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sectPr>
          <w:pgSz w:w="11906" w:h="16838"/>
          <w:pgMar w:top="1440" w:right="1083" w:bottom="1440" w:left="1083" w:header="850" w:footer="850" w:gutter="0"/>
          <w:cols w:space="0" w:num="1"/>
        </w:sectPr>
      </w:pPr>
    </w:p>
    <w:p w14:paraId="36CD2572">
      <w:pPr>
        <w:kinsoku/>
        <w:wordWrap w:val="0"/>
        <w:topLinePunct/>
        <w:autoSpaceDE/>
        <w:autoSpaceDN/>
        <w:adjustRightInd/>
        <w:snapToGrid/>
        <w:jc w:val="center"/>
        <w:rPr>
          <w:rFonts w:ascii="Times New Roman" w:hAnsi="Times New Roman" w:eastAsia="黑体" w:cs="Times New Roman"/>
          <w:color w:val="auto"/>
          <w:spacing w:val="-4"/>
          <w:sz w:val="52"/>
          <w:szCs w:val="52"/>
          <w14:textOutline w14:w="8712" w14:cap="flat" w14:cmpd="sng" w14:algn="ctr">
            <w14:solidFill>
              <w14:srgbClr w14:val="000000"/>
            </w14:solidFill>
            <w14:prstDash w14:val="solid"/>
            <w14:miter w14:val="0"/>
          </w14:textOutline>
        </w:rPr>
      </w:pPr>
    </w:p>
    <w:p w14:paraId="4300355C">
      <w:pPr>
        <w:kinsoku/>
        <w:wordWrap w:val="0"/>
        <w:topLinePunct/>
        <w:autoSpaceDE/>
        <w:autoSpaceDN/>
        <w:adjustRightInd/>
        <w:snapToGrid/>
        <w:jc w:val="center"/>
        <w:rPr>
          <w:rFonts w:ascii="Times New Roman" w:hAnsi="Times New Roman" w:eastAsia="黑体" w:cs="Times New Roman"/>
          <w:color w:val="auto"/>
          <w:sz w:val="52"/>
          <w:szCs w:val="52"/>
        </w:rPr>
      </w:pPr>
      <w:r>
        <w:rPr>
          <w:rFonts w:ascii="Times New Roman" w:hAnsi="Times New Roman" w:eastAsia="黑体" w:cs="Times New Roman"/>
          <w:color w:val="auto"/>
          <w:spacing w:val="-4"/>
          <w:sz w:val="52"/>
          <w:szCs w:val="52"/>
          <w14:textOutline w14:w="8712" w14:cap="flat" w14:cmpd="sng" w14:algn="ctr">
            <w14:solidFill>
              <w14:srgbClr w14:val="000000"/>
            </w14:solidFill>
            <w14:prstDash w14:val="solid"/>
            <w14:miter w14:val="0"/>
          </w14:textOutline>
        </w:rPr>
        <w:t>小额项目工程施工响应文件</w:t>
      </w:r>
    </w:p>
    <w:p w14:paraId="6FE1BCD0">
      <w:pPr>
        <w:kinsoku/>
        <w:topLinePunct/>
        <w:jc w:val="center"/>
        <w:rPr>
          <w:rFonts w:ascii="Times New Roman" w:hAnsi="Times New Roman" w:cs="Times New Roman"/>
          <w:color w:val="auto"/>
        </w:rPr>
      </w:pPr>
    </w:p>
    <w:p w14:paraId="466A62A6">
      <w:pPr>
        <w:kinsoku/>
        <w:topLinePunct/>
        <w:jc w:val="center"/>
        <w:rPr>
          <w:rFonts w:ascii="Times New Roman" w:hAnsi="Times New Roman" w:cs="Times New Roman"/>
          <w:color w:val="auto"/>
        </w:rPr>
      </w:pPr>
    </w:p>
    <w:p w14:paraId="422C2DE3">
      <w:pPr>
        <w:pStyle w:val="3"/>
        <w:rPr>
          <w:rFonts w:ascii="Times New Roman" w:hAnsi="Times New Roman" w:cs="Times New Roman"/>
          <w:color w:val="auto"/>
        </w:rPr>
      </w:pPr>
      <w:r>
        <w:rPr>
          <w:rFonts w:ascii="Times New Roman" w:hAnsi="Times New Roman" w:cs="Times New Roman"/>
          <w:color w:val="auto"/>
        </w:rPr>
        <w:t>(封面)</w:t>
      </w:r>
    </w:p>
    <w:p w14:paraId="1D0323BC">
      <w:pPr>
        <w:kinsoku/>
        <w:topLinePunct/>
        <w:rPr>
          <w:rFonts w:ascii="Times New Roman" w:hAnsi="Times New Roman" w:cs="Times New Roman"/>
          <w:color w:val="auto"/>
        </w:rPr>
      </w:pPr>
    </w:p>
    <w:p w14:paraId="10432BB1">
      <w:pPr>
        <w:kinsoku/>
        <w:wordWrap w:val="0"/>
        <w:topLinePunct/>
        <w:autoSpaceDE/>
        <w:autoSpaceDN/>
        <w:adjustRightInd/>
        <w:snapToGrid/>
        <w:rPr>
          <w:rFonts w:ascii="Times New Roman" w:hAnsi="Times New Roman" w:cs="Times New Roman"/>
          <w:color w:val="auto"/>
          <w:sz w:val="21"/>
        </w:rPr>
      </w:pPr>
    </w:p>
    <w:p w14:paraId="5A3EA158">
      <w:pPr>
        <w:kinsoku/>
        <w:wordWrap w:val="0"/>
        <w:topLinePunct/>
        <w:autoSpaceDE/>
        <w:autoSpaceDN/>
        <w:adjustRightInd/>
        <w:snapToGrid/>
        <w:rPr>
          <w:rFonts w:ascii="Times New Roman" w:hAnsi="Times New Roman" w:cs="Times New Roman"/>
          <w:color w:val="auto"/>
          <w:sz w:val="21"/>
        </w:rPr>
      </w:pPr>
    </w:p>
    <w:p w14:paraId="5A7C8108">
      <w:pPr>
        <w:kinsoku/>
        <w:wordWrap w:val="0"/>
        <w:topLinePunct/>
        <w:autoSpaceDE/>
        <w:autoSpaceDN/>
        <w:adjustRightInd/>
        <w:snapToGrid/>
        <w:spacing w:line="580" w:lineRule="exact"/>
        <w:rPr>
          <w:rFonts w:ascii="Times New Roman" w:hAnsi="Times New Roman" w:cs="Times New Roman"/>
          <w:color w:val="auto"/>
          <w:sz w:val="21"/>
        </w:rPr>
      </w:pPr>
    </w:p>
    <w:p w14:paraId="41530E57">
      <w:pPr>
        <w:kinsoku/>
        <w:wordWrap w:val="0"/>
        <w:topLinePunct/>
        <w:autoSpaceDE/>
        <w:autoSpaceDN/>
        <w:adjustRightInd/>
        <w:snapToGrid/>
        <w:spacing w:before="240" w:beforeLines="100" w:after="240" w:afterLines="100" w:line="580" w:lineRule="exact"/>
        <w:ind w:firstLine="1160" w:firstLineChars="400"/>
        <w:rPr>
          <w:rFonts w:ascii="Times New Roman" w:hAnsi="Times New Roman" w:eastAsia="仿宋" w:cs="Times New Roman"/>
          <w:color w:val="auto"/>
        </w:rPr>
      </w:pPr>
      <w:r>
        <w:rPr>
          <w:rFonts w:ascii="Times New Roman" w:hAnsi="Times New Roman" w:eastAsia="仿宋" w:cs="Times New Roman"/>
          <w:color w:val="auto"/>
          <w:spacing w:val="-5"/>
          <w:sz w:val="30"/>
          <w:szCs w:val="30"/>
        </w:rPr>
        <w:t>项目名称：</w:t>
      </w:r>
      <w:r>
        <w:rPr>
          <w:rFonts w:ascii="Times New Roman" w:hAnsi="Times New Roman" w:eastAsia="仿宋" w:cs="Times New Roman"/>
          <w:color w:val="auto"/>
          <w:sz w:val="30"/>
          <w:szCs w:val="30"/>
          <w:u w:val="single"/>
        </w:rPr>
        <w:t xml:space="preserve">                                        </w:t>
      </w:r>
    </w:p>
    <w:p w14:paraId="1ECD8E5D">
      <w:pPr>
        <w:kinsoku/>
        <w:wordWrap w:val="0"/>
        <w:topLinePunct/>
        <w:autoSpaceDE/>
        <w:autoSpaceDN/>
        <w:adjustRightInd/>
        <w:snapToGrid/>
        <w:spacing w:before="240" w:beforeLines="100" w:after="240" w:afterLines="100" w:line="580" w:lineRule="exact"/>
        <w:ind w:firstLine="1184" w:firstLineChars="400"/>
        <w:rPr>
          <w:rFonts w:ascii="Times New Roman" w:hAnsi="Times New Roman" w:eastAsia="仿宋" w:cs="Times New Roman"/>
          <w:color w:val="auto"/>
          <w:spacing w:val="-2"/>
          <w:sz w:val="30"/>
          <w:szCs w:val="30"/>
          <w:u w:val="single"/>
        </w:rPr>
      </w:pPr>
      <w:r>
        <w:rPr>
          <w:rFonts w:ascii="Times New Roman" w:hAnsi="Times New Roman" w:eastAsia="仿宋" w:cs="Times New Roman"/>
          <w:color w:val="auto"/>
          <w:spacing w:val="-2"/>
          <w:sz w:val="30"/>
          <w:szCs w:val="30"/>
        </w:rPr>
        <w:t>文件内容：</w:t>
      </w:r>
      <w:r>
        <w:rPr>
          <w:rFonts w:ascii="Times New Roman" w:hAnsi="Times New Roman" w:eastAsia="仿宋" w:cs="Times New Roman"/>
          <w:color w:val="auto"/>
          <w:spacing w:val="-2"/>
          <w:sz w:val="30"/>
          <w:szCs w:val="30"/>
          <w:u w:val="single"/>
        </w:rPr>
        <w:t>　　　　资信标及资格审查文件　　　　　　　　　</w:t>
      </w:r>
    </w:p>
    <w:p w14:paraId="2A8C9203">
      <w:pPr>
        <w:kinsoku/>
        <w:wordWrap w:val="0"/>
        <w:topLinePunct/>
        <w:autoSpaceDE/>
        <w:autoSpaceDN/>
        <w:adjustRightInd/>
        <w:snapToGrid/>
        <w:spacing w:before="240" w:beforeLines="100" w:after="240" w:afterLines="100" w:line="580" w:lineRule="exact"/>
        <w:ind w:firstLine="1184" w:firstLineChars="400"/>
        <w:rPr>
          <w:rFonts w:ascii="Times New Roman" w:hAnsi="Times New Roman" w:cs="Times New Roman"/>
          <w:color w:val="auto"/>
          <w:sz w:val="21"/>
        </w:rPr>
      </w:pPr>
      <w:r>
        <w:rPr>
          <w:rFonts w:ascii="Times New Roman" w:hAnsi="Times New Roman" w:eastAsia="仿宋" w:cs="Times New Roman"/>
          <w:color w:val="auto"/>
          <w:spacing w:val="-2"/>
          <w:sz w:val="30"/>
          <w:szCs w:val="30"/>
        </w:rPr>
        <w:t>潜在承包人：</w:t>
      </w:r>
      <w:r>
        <w:rPr>
          <w:rFonts w:ascii="Times New Roman" w:hAnsi="Times New Roman" w:eastAsia="仿宋" w:cs="Times New Roman"/>
          <w:color w:val="auto"/>
          <w:spacing w:val="-2"/>
          <w:sz w:val="30"/>
          <w:szCs w:val="30"/>
          <w:u w:val="single"/>
        </w:rPr>
        <w:t xml:space="preserve">              </w:t>
      </w:r>
      <w:r>
        <w:rPr>
          <w:rFonts w:ascii="Times New Roman" w:hAnsi="Times New Roman" w:eastAsia="仿宋" w:cs="Times New Roman"/>
          <w:color w:val="auto"/>
          <w:spacing w:val="-1"/>
          <w:sz w:val="30"/>
          <w:szCs w:val="30"/>
          <w:u w:val="single"/>
        </w:rPr>
        <w:t xml:space="preserve">             (电子签名)</w:t>
      </w:r>
      <w:r>
        <w:rPr>
          <w:rFonts w:ascii="Times New Roman" w:hAnsi="Times New Roman" w:eastAsia="仿宋" w:cs="Times New Roman"/>
          <w:color w:val="auto"/>
          <w:sz w:val="30"/>
          <w:szCs w:val="30"/>
          <w:u w:val="single"/>
        </w:rPr>
        <w:t xml:space="preserve"> </w:t>
      </w:r>
    </w:p>
    <w:p w14:paraId="342A05FB">
      <w:pPr>
        <w:kinsoku/>
        <w:wordWrap w:val="0"/>
        <w:topLinePunct/>
        <w:autoSpaceDE/>
        <w:autoSpaceDN/>
        <w:adjustRightInd/>
        <w:snapToGrid/>
        <w:spacing w:before="240" w:beforeLines="100" w:after="240" w:afterLines="100" w:line="580" w:lineRule="exact"/>
        <w:ind w:firstLine="1168" w:firstLineChars="400"/>
        <w:rPr>
          <w:rFonts w:ascii="Times New Roman" w:hAnsi="Times New Roman" w:eastAsia="仿宋" w:cs="Times New Roman"/>
          <w:color w:val="auto"/>
          <w:sz w:val="30"/>
          <w:szCs w:val="30"/>
        </w:rPr>
      </w:pPr>
      <w:r>
        <w:rPr>
          <w:rFonts w:ascii="Times New Roman" w:hAnsi="Times New Roman" w:eastAsia="仿宋" w:cs="Times New Roman"/>
          <w:color w:val="auto"/>
          <w:spacing w:val="-4"/>
          <w:sz w:val="30"/>
          <w:szCs w:val="30"/>
        </w:rPr>
        <w:t>法定代</w:t>
      </w:r>
      <w:r>
        <w:rPr>
          <w:rFonts w:ascii="Times New Roman" w:hAnsi="Times New Roman" w:eastAsia="仿宋" w:cs="Times New Roman"/>
          <w:color w:val="auto"/>
          <w:spacing w:val="-3"/>
          <w:sz w:val="30"/>
          <w:szCs w:val="30"/>
        </w:rPr>
        <w:t>表</w:t>
      </w:r>
      <w:r>
        <w:rPr>
          <w:rFonts w:ascii="Times New Roman" w:hAnsi="Times New Roman" w:eastAsia="仿宋" w:cs="Times New Roman"/>
          <w:color w:val="auto"/>
          <w:spacing w:val="-2"/>
          <w:sz w:val="30"/>
          <w:szCs w:val="30"/>
        </w:rPr>
        <w:t>人或其委托代理人：</w:t>
      </w:r>
      <w:r>
        <w:rPr>
          <w:rFonts w:ascii="Times New Roman" w:hAnsi="Times New Roman" w:eastAsia="仿宋" w:cs="Times New Roman"/>
          <w:color w:val="auto"/>
          <w:spacing w:val="-2"/>
          <w:sz w:val="30"/>
          <w:szCs w:val="30"/>
          <w:u w:val="single"/>
        </w:rPr>
        <w:t xml:space="preserve">           　(</w:t>
      </w:r>
      <w:r>
        <w:rPr>
          <w:rFonts w:ascii="Times New Roman" w:hAnsi="Times New Roman" w:eastAsia="仿宋" w:cs="Times New Roman"/>
          <w:color w:val="auto"/>
          <w:spacing w:val="-1"/>
          <w:sz w:val="30"/>
          <w:szCs w:val="30"/>
          <w:u w:val="single"/>
        </w:rPr>
        <w:t>电子签名</w:t>
      </w:r>
      <w:r>
        <w:rPr>
          <w:rFonts w:ascii="Times New Roman" w:hAnsi="Times New Roman" w:eastAsia="仿宋" w:cs="Times New Roman"/>
          <w:color w:val="auto"/>
          <w:spacing w:val="-2"/>
          <w:sz w:val="30"/>
          <w:szCs w:val="30"/>
          <w:u w:val="single"/>
        </w:rPr>
        <w:t>)</w:t>
      </w:r>
      <w:r>
        <w:rPr>
          <w:rFonts w:ascii="Times New Roman" w:hAnsi="Times New Roman" w:eastAsia="仿宋" w:cs="Times New Roman"/>
          <w:color w:val="auto"/>
          <w:sz w:val="30"/>
          <w:szCs w:val="30"/>
          <w:u w:val="single"/>
        </w:rPr>
        <w:t xml:space="preserve"> </w:t>
      </w:r>
    </w:p>
    <w:p w14:paraId="63EFC6A4">
      <w:pPr>
        <w:kinsoku/>
        <w:wordWrap w:val="0"/>
        <w:topLinePunct/>
        <w:autoSpaceDE/>
        <w:autoSpaceDN/>
        <w:adjustRightInd/>
        <w:snapToGrid/>
        <w:ind w:firstLine="420" w:firstLineChars="200"/>
        <w:rPr>
          <w:rFonts w:ascii="Times New Roman" w:hAnsi="Times New Roman" w:cs="Times New Roman"/>
          <w:color w:val="auto"/>
          <w:sz w:val="21"/>
        </w:rPr>
      </w:pPr>
    </w:p>
    <w:p w14:paraId="67739C72">
      <w:pPr>
        <w:kinsoku/>
        <w:wordWrap w:val="0"/>
        <w:topLinePunct/>
        <w:autoSpaceDE/>
        <w:autoSpaceDN/>
        <w:adjustRightInd/>
        <w:snapToGrid/>
        <w:ind w:firstLine="420" w:firstLineChars="200"/>
        <w:rPr>
          <w:rFonts w:ascii="Times New Roman" w:hAnsi="Times New Roman" w:cs="Times New Roman"/>
          <w:color w:val="auto"/>
          <w:sz w:val="21"/>
        </w:rPr>
      </w:pPr>
    </w:p>
    <w:p w14:paraId="50925F70">
      <w:pPr>
        <w:kinsoku/>
        <w:wordWrap w:val="0"/>
        <w:topLinePunct/>
        <w:autoSpaceDE/>
        <w:autoSpaceDN/>
        <w:adjustRightInd/>
        <w:snapToGrid/>
        <w:ind w:firstLine="420" w:firstLineChars="200"/>
        <w:rPr>
          <w:rFonts w:ascii="Times New Roman" w:hAnsi="Times New Roman" w:cs="Times New Roman"/>
          <w:color w:val="auto"/>
          <w:sz w:val="21"/>
        </w:rPr>
      </w:pPr>
    </w:p>
    <w:p w14:paraId="192B3868">
      <w:pPr>
        <w:kinsoku/>
        <w:wordWrap w:val="0"/>
        <w:topLinePunct/>
        <w:autoSpaceDE/>
        <w:autoSpaceDN/>
        <w:adjustRightInd/>
        <w:snapToGrid/>
        <w:ind w:firstLine="420" w:firstLineChars="200"/>
        <w:rPr>
          <w:rFonts w:ascii="Times New Roman" w:hAnsi="Times New Roman" w:cs="Times New Roman"/>
          <w:color w:val="auto"/>
          <w:sz w:val="21"/>
        </w:rPr>
      </w:pPr>
    </w:p>
    <w:p w14:paraId="5FC3C8E2">
      <w:pPr>
        <w:kinsoku/>
        <w:wordWrap w:val="0"/>
        <w:topLinePunct/>
        <w:autoSpaceDE/>
        <w:autoSpaceDN/>
        <w:adjustRightInd/>
        <w:snapToGrid/>
        <w:ind w:firstLine="420" w:firstLineChars="200"/>
        <w:rPr>
          <w:rFonts w:ascii="Times New Roman" w:hAnsi="Times New Roman" w:cs="Times New Roman"/>
          <w:color w:val="auto"/>
          <w:sz w:val="21"/>
        </w:rPr>
      </w:pPr>
    </w:p>
    <w:p w14:paraId="1BEBB55C">
      <w:pPr>
        <w:kinsoku/>
        <w:wordWrap w:val="0"/>
        <w:topLinePunct/>
        <w:autoSpaceDE/>
        <w:autoSpaceDN/>
        <w:adjustRightInd/>
        <w:snapToGrid/>
        <w:ind w:firstLine="420" w:firstLineChars="200"/>
        <w:rPr>
          <w:rFonts w:ascii="Times New Roman" w:hAnsi="Times New Roman" w:cs="Times New Roman"/>
          <w:color w:val="auto"/>
          <w:sz w:val="21"/>
        </w:rPr>
      </w:pPr>
    </w:p>
    <w:p w14:paraId="6F038CF1">
      <w:pPr>
        <w:kinsoku/>
        <w:wordWrap w:val="0"/>
        <w:topLinePunct/>
        <w:autoSpaceDE/>
        <w:autoSpaceDN/>
        <w:adjustRightInd/>
        <w:snapToGrid/>
        <w:ind w:firstLine="420" w:firstLineChars="200"/>
        <w:rPr>
          <w:rFonts w:ascii="Times New Roman" w:hAnsi="Times New Roman" w:cs="Times New Roman"/>
          <w:color w:val="auto"/>
          <w:sz w:val="21"/>
        </w:rPr>
      </w:pPr>
    </w:p>
    <w:p w14:paraId="3A383A26">
      <w:pPr>
        <w:kinsoku/>
        <w:wordWrap w:val="0"/>
        <w:topLinePunct/>
        <w:autoSpaceDE/>
        <w:autoSpaceDN/>
        <w:adjustRightInd/>
        <w:snapToGrid/>
        <w:ind w:firstLine="572" w:firstLineChars="200"/>
        <w:jc w:val="center"/>
        <w:rPr>
          <w:rFonts w:ascii="Times New Roman" w:hAnsi="Times New Roman" w:eastAsia="仿宋" w:cs="Times New Roman"/>
          <w:color w:val="auto"/>
          <w:sz w:val="30"/>
          <w:szCs w:val="30"/>
        </w:rPr>
      </w:pPr>
      <w:r>
        <w:rPr>
          <w:rFonts w:ascii="Times New Roman" w:hAnsi="Times New Roman" w:eastAsia="仿宋" w:cs="Times New Roman"/>
          <w:color w:val="auto"/>
          <w:spacing w:val="-7"/>
          <w:sz w:val="30"/>
          <w:szCs w:val="30"/>
        </w:rPr>
        <w:t xml:space="preserve">日期：      年     月     </w:t>
      </w:r>
      <w:r>
        <w:rPr>
          <w:rFonts w:ascii="Times New Roman" w:hAnsi="Times New Roman" w:eastAsia="仿宋" w:cs="Times New Roman"/>
          <w:color w:val="auto"/>
          <w:spacing w:val="-5"/>
          <w:sz w:val="30"/>
          <w:szCs w:val="30"/>
        </w:rPr>
        <w:t>日</w:t>
      </w:r>
    </w:p>
    <w:p w14:paraId="0F0BCEED">
      <w:pPr>
        <w:kinsoku/>
        <w:topLinePunct/>
        <w:adjustRightInd/>
        <w:spacing w:before="1" w:line="218" w:lineRule="auto"/>
        <w:jc w:val="center"/>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sectPr>
          <w:pgSz w:w="11906" w:h="16838"/>
          <w:pgMar w:top="1440" w:right="1083" w:bottom="1440" w:left="1083" w:header="850" w:footer="850" w:gutter="0"/>
          <w:cols w:space="0" w:num="1"/>
        </w:sectPr>
      </w:pPr>
    </w:p>
    <w:p w14:paraId="4A47578D">
      <w:pPr>
        <w:pStyle w:val="3"/>
        <w:kinsoku/>
        <w:topLinePunct/>
        <w:rPr>
          <w:rFonts w:ascii="Times New Roman" w:hAnsi="Times New Roman"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cs="Times New Roman"/>
          <w:b w:val="0"/>
          <w:bCs w:val="0"/>
          <w:color w:val="auto"/>
          <w:spacing w:val="-1"/>
          <w:sz w:val="44"/>
          <w:szCs w:val="44"/>
          <w14:textOutline w14:w="5448" w14:cap="flat" w14:cmpd="sng" w14:algn="ctr">
            <w14:solidFill>
              <w14:srgbClr w14:val="000000"/>
            </w14:solidFill>
            <w14:prstDash w14:val="solid"/>
            <w14:miter w14:val="0"/>
          </w14:textOutline>
        </w:rPr>
        <w:t>目   录</w:t>
      </w:r>
    </w:p>
    <w:p w14:paraId="5A88A7A3">
      <w:pPr>
        <w:widowControl w:val="0"/>
        <w:ind w:firstLine="422" w:firstLineChars="150"/>
        <w:rPr>
          <w:rFonts w:ascii="Times New Roman" w:hAnsi="Times New Roman" w:eastAsia="仿宋_GB2312" w:cs="Times New Roman"/>
          <w:b/>
          <w:bCs/>
          <w:color w:val="auto"/>
          <w:sz w:val="28"/>
          <w:szCs w:val="28"/>
        </w:rPr>
      </w:pPr>
    </w:p>
    <w:p w14:paraId="47ADA046">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1.诚信</w:t>
      </w:r>
      <w:r>
        <w:rPr>
          <w:rFonts w:ascii="Times New Roman" w:hAnsi="Times New Roman" w:eastAsia="宋体" w:cs="Times New Roman"/>
          <w:color w:val="auto"/>
          <w:lang w:val="zh-CN"/>
        </w:rPr>
        <w:t>承诺书</w:t>
      </w:r>
      <w:r>
        <w:rPr>
          <w:rFonts w:ascii="Times New Roman" w:hAnsi="Times New Roman" w:eastAsia="宋体" w:cs="Times New Roman"/>
          <w:color w:val="auto"/>
        </w:rPr>
        <w:t>…………………………………………………………………………(页码)</w:t>
      </w:r>
    </w:p>
    <w:p w14:paraId="3FCB8BE6">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2.法定代表人身份证明书……………………………………………………………(页码)</w:t>
      </w:r>
    </w:p>
    <w:p w14:paraId="7837FF77">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3.授权委托书…………………………………………………………………………(页码)</w:t>
      </w:r>
    </w:p>
    <w:p w14:paraId="1F1D2E5C">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4.企业基本情况表(附企业证明材料)……………………………………………(页码)</w:t>
      </w:r>
    </w:p>
    <w:p w14:paraId="38976959">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5.项目管理班子配备情况(附相关证明材料)………………………………………(页码)</w:t>
      </w:r>
    </w:p>
    <w:p w14:paraId="27C2AF4A">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6.业绩公示汇总表(附相关业绩的证明材料)…………………………………………(页码)</w:t>
      </w:r>
    </w:p>
    <w:p w14:paraId="49C538BE">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7.符合性审查资料汇总表……………………………………………………………(页码)</w:t>
      </w:r>
    </w:p>
    <w:p w14:paraId="1DD8F1C2">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8.资格要求、评审标准相应的资信资料……………………………………………(页码)</w:t>
      </w:r>
    </w:p>
    <w:p w14:paraId="5D78A248">
      <w:pPr>
        <w:widowControl w:val="0"/>
        <w:spacing w:line="360" w:lineRule="auto"/>
        <w:ind w:firstLine="360" w:firstLineChars="150"/>
        <w:jc w:val="distribute"/>
        <w:rPr>
          <w:rFonts w:ascii="Times New Roman" w:hAnsi="Times New Roman" w:eastAsia="宋体" w:cs="Times New Roman"/>
          <w:color w:val="auto"/>
        </w:rPr>
      </w:pPr>
    </w:p>
    <w:p w14:paraId="6610F6A0">
      <w:pPr>
        <w:kinsoku/>
        <w:rPr>
          <w:rFonts w:ascii="Times New Roman" w:hAnsi="Times New Roman" w:eastAsia="宋体" w:cs="Times New Roman"/>
          <w:b/>
          <w:bCs/>
          <w:color w:val="auto"/>
        </w:rPr>
      </w:pPr>
    </w:p>
    <w:p w14:paraId="7E7DF9F7">
      <w:pPr>
        <w:kinsoku/>
        <w:rPr>
          <w:rFonts w:ascii="Times New Roman" w:hAnsi="Times New Roman" w:eastAsia="宋体" w:cs="Times New Roman"/>
          <w:b/>
          <w:color w:val="auto"/>
          <w:sz w:val="32"/>
          <w:szCs w:val="32"/>
        </w:rPr>
      </w:pPr>
      <w:r>
        <w:rPr>
          <w:rFonts w:ascii="Times New Roman" w:hAnsi="Times New Roman" w:eastAsia="宋体" w:cs="Times New Roman"/>
          <w:b/>
          <w:bCs/>
          <w:color w:val="auto"/>
        </w:rPr>
        <w:t>注：以上目录是编制潜在承包人响应文件的基本格式要求，各潜在承包人可根据自身情况进一步细化。各潜在承包人请务必在投标工具中对应评审标准关联相应文件。</w:t>
      </w:r>
    </w:p>
    <w:p w14:paraId="1CCDF733">
      <w:pPr>
        <w:widowControl w:val="0"/>
        <w:ind w:firstLine="360" w:firstLineChars="150"/>
        <w:rPr>
          <w:rFonts w:ascii="Times New Roman" w:hAnsi="Times New Roman" w:eastAsia="宋体" w:cs="Times New Roman"/>
          <w:color w:val="auto"/>
        </w:rPr>
      </w:pPr>
    </w:p>
    <w:p w14:paraId="5A8462EE">
      <w:pPr>
        <w:widowControl w:val="0"/>
        <w:ind w:firstLine="360" w:firstLineChars="150"/>
        <w:rPr>
          <w:rFonts w:ascii="Times New Roman" w:hAnsi="Times New Roman" w:eastAsia="宋体" w:cs="Times New Roman"/>
          <w:color w:val="auto"/>
        </w:rPr>
      </w:pPr>
    </w:p>
    <w:p w14:paraId="3B0D59D7">
      <w:pPr>
        <w:kinsoku/>
        <w:topLinePunct/>
        <w:rPr>
          <w:rFonts w:ascii="Times New Roman" w:hAnsi="Times New Roman" w:eastAsia="黑体" w:cs="Times New Roman"/>
          <w:color w:val="auto"/>
          <w:spacing w:val="1"/>
          <w:sz w:val="44"/>
          <w:szCs w:val="44"/>
          <w14:textOutline w14:w="6540" w14:cap="flat" w14:cmpd="sng" w14:algn="ctr">
            <w14:solidFill>
              <w14:srgbClr w14:val="000000"/>
            </w14:solidFill>
            <w14:prstDash w14:val="solid"/>
            <w14:miter w14:val="0"/>
          </w14:textOutline>
        </w:rPr>
      </w:pPr>
    </w:p>
    <w:p w14:paraId="34C5A0DD">
      <w:pPr>
        <w:kinsoku/>
        <w:topLinePunct/>
        <w:jc w:val="center"/>
        <w:rPr>
          <w:rFonts w:ascii="Times New Roman" w:hAnsi="Times New Roman" w:cs="Times New Roman"/>
          <w:b/>
          <w:bCs/>
          <w:color w:val="auto"/>
          <w:sz w:val="32"/>
          <w:szCs w:val="32"/>
        </w:rPr>
      </w:pPr>
    </w:p>
    <w:p w14:paraId="3A683CB1">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sectPr>
          <w:footerReference r:id="rId22" w:type="first"/>
          <w:footerReference r:id="rId21" w:type="default"/>
          <w:pgSz w:w="11906" w:h="16838"/>
          <w:pgMar w:top="1440" w:right="1080" w:bottom="1440" w:left="1080" w:header="850" w:footer="992" w:gutter="0"/>
          <w:cols w:space="0" w:num="1"/>
          <w:titlePg/>
          <w:docGrid w:linePitch="312" w:charSpace="0"/>
        </w:sectPr>
      </w:pPr>
    </w:p>
    <w:p w14:paraId="08E4BC17">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诚信承诺书</w:t>
      </w:r>
    </w:p>
    <w:p w14:paraId="28C83566">
      <w:pPr>
        <w:kinsoku/>
        <w:topLinePunct/>
        <w:snapToGrid/>
        <w:spacing w:line="360" w:lineRule="auto"/>
        <w:rPr>
          <w:rFonts w:ascii="Times New Roman" w:hAnsi="Times New Roman" w:eastAsia="宋体" w:cs="Times New Roman"/>
          <w:color w:val="auto"/>
          <w:szCs w:val="24"/>
        </w:rPr>
      </w:pPr>
      <w:r>
        <w:rPr>
          <w:rFonts w:ascii="Times New Roman" w:hAnsi="Times New Roman" w:eastAsia="宋体" w:cs="Times New Roman"/>
          <w:color w:val="auto"/>
          <w:szCs w:val="24"/>
        </w:rPr>
        <w:t>(发包人)：</w:t>
      </w:r>
    </w:p>
    <w:p w14:paraId="32B7BBEC">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我单位已详细阅读</w:t>
      </w:r>
      <w:r>
        <w:rPr>
          <w:rFonts w:ascii="Times New Roman" w:hAnsi="Times New Roman" w:eastAsia="宋体" w:cs="Times New Roman"/>
          <w:color w:val="auto"/>
          <w:szCs w:val="24"/>
          <w:u w:val="single"/>
        </w:rPr>
        <w:t xml:space="preserve">    (项目名称)      </w:t>
      </w:r>
      <w:r>
        <w:rPr>
          <w:rFonts w:ascii="Times New Roman" w:hAnsi="Times New Roman" w:eastAsia="宋体" w:cs="Times New Roman"/>
          <w:color w:val="auto"/>
          <w:szCs w:val="24"/>
        </w:rPr>
        <w:t>交易文件，自觉遵守中华人民共和国、浙江省及当地有关法律法规规定，自觉维护建筑市场正常秩序，现自愿就参与该项目交易活动有关事项郑重承诺如下：</w:t>
      </w:r>
    </w:p>
    <w:p w14:paraId="074F8379">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(一)基本能力方面</w:t>
      </w:r>
    </w:p>
    <w:p w14:paraId="77D7F58C">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1.具有独立承担民事责任的能力；</w:t>
      </w:r>
    </w:p>
    <w:p w14:paraId="1DEE6F41">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xml:space="preserve">2.具有良好的商业信誉和健全的财务会计制度； </w:t>
      </w:r>
    </w:p>
    <w:p w14:paraId="065B99E3">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3.具有履行合同所必需的设备和专业技术能力；</w:t>
      </w:r>
    </w:p>
    <w:p w14:paraId="0F918ED3">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4.有依法缴纳税收和社会保障资金的良好记录；</w:t>
      </w:r>
    </w:p>
    <w:p w14:paraId="5055C071">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5.参加活动前三年内，在经营活动中没有重大违法记录；</w:t>
      </w:r>
    </w:p>
    <w:p w14:paraId="4B2E06CA">
      <w:pPr>
        <w:kinsoku/>
        <w:topLinePunct/>
        <w:snapToGrid/>
        <w:spacing w:line="400" w:lineRule="exact"/>
        <w:ind w:firstLine="480" w:firstLineChars="200"/>
        <w:rPr>
          <w:rFonts w:ascii="Times New Roman" w:hAnsi="Times New Roman" w:eastAsia="宋体" w:cs="Times New Roman"/>
          <w:color w:val="auto"/>
          <w:szCs w:val="24"/>
          <w:lang w:val="zh-CN"/>
        </w:rPr>
      </w:pPr>
      <w:r>
        <w:rPr>
          <w:rFonts w:ascii="Times New Roman" w:hAnsi="Times New Roman" w:eastAsia="宋体" w:cs="Times New Roman"/>
          <w:color w:val="auto"/>
          <w:szCs w:val="24"/>
        </w:rPr>
        <w:t>6.具有法律、行政法规规定的其他条件。</w:t>
      </w:r>
      <w:r>
        <w:rPr>
          <w:rFonts w:ascii="Times New Roman" w:hAnsi="Times New Roman" w:eastAsia="宋体" w:cs="Times New Roman"/>
          <w:color w:val="auto"/>
          <w:szCs w:val="24"/>
          <w:lang w:val="zh-CN"/>
        </w:rPr>
        <w:t xml:space="preserve"> </w:t>
      </w:r>
    </w:p>
    <w:p w14:paraId="4C7BC4E0">
      <w:pPr>
        <w:kinsoku/>
        <w:topLinePunct/>
        <w:snapToGrid/>
        <w:spacing w:line="400" w:lineRule="exact"/>
        <w:ind w:left="2" w:leftChars="1"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lang w:val="zh-CN"/>
        </w:rPr>
        <w:t>(二)信誉方面</w:t>
      </w:r>
    </w:p>
    <w:p w14:paraId="3B61C94A">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1.承诺响应文件无虚假、伪造的内容。若响应文件中存在虚假、伪造的内容，同意作无效标处理，交易保证金不予退还；若成交之后被查实弄虚作假，同意取消成交资格，履约保证金不予退还；</w:t>
      </w:r>
    </w:p>
    <w:p w14:paraId="690EDAA0">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2.承诺无串通行为，若存在与其他潜在承包人、发包人、代理机构等存在交易文件规定的串通行为的，同意作无效标处理，并接受有关部门的调查和处罚；</w:t>
      </w:r>
    </w:p>
    <w:p w14:paraId="1205883F">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3.承诺无恶意报价行为，若被认定存在严重哄抬报价或影响合同履行的异常低价竞争行为，同意作无效标处理，并接受有关部门的调查和处罚；</w:t>
      </w:r>
    </w:p>
    <w:p w14:paraId="49FEFD2E">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4承诺本项目拟派项目负责人没有被暂停执业，在响应截止日无在其他任何在建合同工程上担任项目负责人 (包括工程总承包项目中的施工负责人、总负责人) 的情形；</w:t>
      </w:r>
    </w:p>
    <w:p w14:paraId="6463B548">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5.承诺本单位及拟派项目负责人未被信用中国(www.creditchina.gov.cn)列入失信被执行人、重大税收违法案件当事人名单；</w:t>
      </w:r>
    </w:p>
    <w:p w14:paraId="332C290D">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6.承诺本单位及拟派项目负责人未被信用杭州(http://credit.hangzhou.gov.cn)列入严重失信黑名单；</w:t>
      </w:r>
    </w:p>
    <w:p w14:paraId="3712410C">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7.承诺未被限制参加城投集团系统小额工程交易活动。</w:t>
      </w:r>
    </w:p>
    <w:p w14:paraId="703D5891">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(三)廉洁自律方面</w:t>
      </w:r>
    </w:p>
    <w:p w14:paraId="02B29691">
      <w:pPr>
        <w:kinsoku/>
        <w:topLinePunct/>
        <w:snapToGrid/>
        <w:spacing w:line="400" w:lineRule="exact"/>
        <w:ind w:left="2" w:leftChars="1" w:firstLine="480" w:firstLineChars="200"/>
        <w:rPr>
          <w:rFonts w:ascii="Times New Roman" w:hAnsi="Times New Roman" w:eastAsia="宋体" w:cs="Times New Roman"/>
          <w:color w:val="auto"/>
          <w:szCs w:val="24"/>
          <w:lang w:val="zh-CN"/>
        </w:rPr>
      </w:pPr>
      <w:r>
        <w:rPr>
          <w:rFonts w:ascii="Times New Roman" w:hAnsi="Times New Roman" w:eastAsia="宋体" w:cs="Times New Roman"/>
          <w:color w:val="auto"/>
          <w:szCs w:val="24"/>
        </w:rPr>
        <w:t>1.</w:t>
      </w:r>
      <w:r>
        <w:rPr>
          <w:rFonts w:ascii="Times New Roman" w:hAnsi="Times New Roman" w:eastAsia="宋体" w:cs="Times New Roman"/>
          <w:color w:val="auto"/>
          <w:szCs w:val="24"/>
          <w:lang w:val="zh-CN"/>
        </w:rPr>
        <w:t xml:space="preserve">不向项目有关人员及部门赠送礼金礼物、有价证券、回扣以及中介费、介绍费、咨询费等好处费； </w:t>
      </w:r>
    </w:p>
    <w:p w14:paraId="3BE03431">
      <w:pPr>
        <w:kinsoku/>
        <w:topLinePunct/>
        <w:snapToGrid/>
        <w:spacing w:line="400" w:lineRule="exact"/>
        <w:ind w:left="2" w:leftChars="1" w:firstLine="480" w:firstLineChars="200"/>
        <w:rPr>
          <w:rFonts w:ascii="Times New Roman" w:hAnsi="Times New Roman" w:eastAsia="宋体" w:cs="Times New Roman"/>
          <w:color w:val="auto"/>
          <w:szCs w:val="24"/>
          <w:lang w:val="zh-CN"/>
        </w:rPr>
      </w:pPr>
      <w:r>
        <w:rPr>
          <w:rFonts w:ascii="Times New Roman" w:hAnsi="Times New Roman" w:eastAsia="宋体" w:cs="Times New Roman"/>
          <w:color w:val="auto"/>
          <w:szCs w:val="24"/>
        </w:rPr>
        <w:t>2.</w:t>
      </w:r>
      <w:r>
        <w:rPr>
          <w:rFonts w:ascii="Times New Roman" w:hAnsi="Times New Roman" w:eastAsia="宋体" w:cs="Times New Roman"/>
          <w:color w:val="auto"/>
          <w:szCs w:val="24"/>
          <w:lang w:val="zh-CN"/>
        </w:rPr>
        <w:t xml:space="preserve">不为项目有关人员及部门报销应由你方单位或个人支付的费用； </w:t>
      </w:r>
    </w:p>
    <w:p w14:paraId="0984A6E8">
      <w:pPr>
        <w:kinsoku/>
        <w:topLinePunct/>
        <w:snapToGrid/>
        <w:spacing w:line="400" w:lineRule="exact"/>
        <w:ind w:left="2" w:leftChars="1" w:firstLine="480" w:firstLineChars="200"/>
        <w:rPr>
          <w:rFonts w:ascii="Times New Roman" w:hAnsi="Times New Roman" w:eastAsia="宋体" w:cs="Times New Roman"/>
          <w:color w:val="auto"/>
          <w:szCs w:val="24"/>
          <w:lang w:val="zh-CN"/>
        </w:rPr>
      </w:pPr>
      <w:r>
        <w:rPr>
          <w:rFonts w:ascii="Times New Roman" w:hAnsi="Times New Roman" w:eastAsia="宋体" w:cs="Times New Roman"/>
          <w:color w:val="auto"/>
          <w:szCs w:val="24"/>
        </w:rPr>
        <w:t>3.</w:t>
      </w:r>
      <w:r>
        <w:rPr>
          <w:rFonts w:ascii="Times New Roman" w:hAnsi="Times New Roman" w:eastAsia="宋体" w:cs="Times New Roman"/>
          <w:color w:val="auto"/>
          <w:szCs w:val="24"/>
          <w:lang w:val="zh-CN"/>
        </w:rPr>
        <w:t xml:space="preserve">不向项目有关人员及部门提供有可能影响公正的宴请和健身娱乐等活动； </w:t>
      </w:r>
    </w:p>
    <w:p w14:paraId="4FAA7EF4">
      <w:pPr>
        <w:kinsoku/>
        <w:topLinePunct/>
        <w:snapToGrid/>
        <w:spacing w:line="400" w:lineRule="exact"/>
        <w:ind w:left="2" w:leftChars="1" w:firstLine="480" w:firstLineChars="200"/>
        <w:rPr>
          <w:rFonts w:ascii="Times New Roman" w:hAnsi="Times New Roman" w:eastAsia="宋体" w:cs="Times New Roman"/>
          <w:color w:val="auto"/>
          <w:szCs w:val="24"/>
          <w:lang w:val="zh-CN"/>
        </w:rPr>
      </w:pPr>
      <w:r>
        <w:rPr>
          <w:rFonts w:ascii="Times New Roman" w:hAnsi="Times New Roman" w:eastAsia="宋体" w:cs="Times New Roman"/>
          <w:color w:val="auto"/>
          <w:szCs w:val="24"/>
        </w:rPr>
        <w:t>4.</w:t>
      </w:r>
      <w:r>
        <w:rPr>
          <w:rFonts w:ascii="Times New Roman" w:hAnsi="Times New Roman" w:eastAsia="宋体" w:cs="Times New Roman"/>
          <w:color w:val="auto"/>
          <w:szCs w:val="24"/>
          <w:lang w:val="zh-CN"/>
        </w:rPr>
        <w:t>不为项目有关人员及部门出国(境)、旅游等提供方便；</w:t>
      </w:r>
    </w:p>
    <w:p w14:paraId="5A5E07D9">
      <w:pPr>
        <w:kinsoku/>
        <w:topLinePunct/>
        <w:snapToGrid/>
        <w:spacing w:line="400" w:lineRule="exact"/>
        <w:ind w:left="2" w:leftChars="1" w:firstLine="480" w:firstLineChars="200"/>
        <w:rPr>
          <w:rFonts w:ascii="Times New Roman" w:hAnsi="Times New Roman" w:eastAsia="宋体" w:cs="Times New Roman"/>
          <w:color w:val="auto"/>
          <w:szCs w:val="24"/>
          <w:lang w:val="zh-CN"/>
        </w:rPr>
      </w:pPr>
      <w:r>
        <w:rPr>
          <w:rFonts w:ascii="Times New Roman" w:hAnsi="Times New Roman" w:eastAsia="宋体" w:cs="Times New Roman"/>
          <w:color w:val="auto"/>
          <w:szCs w:val="24"/>
        </w:rPr>
        <w:t>5.</w:t>
      </w:r>
      <w:r>
        <w:rPr>
          <w:rFonts w:ascii="Times New Roman" w:hAnsi="Times New Roman" w:eastAsia="宋体" w:cs="Times New Roman"/>
          <w:color w:val="auto"/>
          <w:szCs w:val="24"/>
          <w:lang w:val="zh-CN"/>
        </w:rPr>
        <w:t>不为项目有关人员个人装修住房、婚丧嫁娶、配偶子女工作安排等提供好处；</w:t>
      </w:r>
    </w:p>
    <w:p w14:paraId="0931D4D9">
      <w:pPr>
        <w:kinsoku/>
        <w:topLinePunct/>
        <w:snapToGrid/>
        <w:spacing w:line="400" w:lineRule="exact"/>
        <w:ind w:firstLine="480" w:firstLineChars="200"/>
        <w:rPr>
          <w:rFonts w:ascii="Times New Roman" w:hAnsi="Times New Roman" w:eastAsia="宋体" w:cs="Times New Roman"/>
          <w:color w:val="auto"/>
          <w:szCs w:val="24"/>
          <w:lang w:val="zh-CN"/>
        </w:rPr>
      </w:pPr>
      <w:r>
        <w:rPr>
          <w:rFonts w:ascii="Times New Roman" w:hAnsi="Times New Roman" w:eastAsia="宋体" w:cs="Times New Roman"/>
          <w:color w:val="auto"/>
          <w:szCs w:val="24"/>
        </w:rPr>
        <w:t>6.</w:t>
      </w:r>
      <w:r>
        <w:rPr>
          <w:rFonts w:ascii="Times New Roman" w:hAnsi="Times New Roman" w:eastAsia="宋体" w:cs="Times New Roman"/>
          <w:color w:val="auto"/>
          <w:szCs w:val="24"/>
          <w:lang w:val="zh-CN"/>
        </w:rPr>
        <w:t>严格遵守法律法规，诚实守信，合法经营，坚决抵制各种违法违纪行为</w:t>
      </w:r>
      <w:r>
        <w:rPr>
          <w:rFonts w:ascii="Times New Roman" w:hAnsi="Times New Roman" w:eastAsia="宋体" w:cs="Times New Roman"/>
          <w:color w:val="auto"/>
          <w:szCs w:val="24"/>
        </w:rPr>
        <w:t>。</w:t>
      </w:r>
    </w:p>
    <w:p w14:paraId="601EFFDA">
      <w:pPr>
        <w:kinsoku/>
        <w:topLinePunct/>
        <w:snapToGrid/>
        <w:spacing w:line="400" w:lineRule="exact"/>
        <w:ind w:left="2" w:leftChars="1" w:firstLine="480" w:firstLineChars="200"/>
        <w:rPr>
          <w:rFonts w:ascii="Times New Roman" w:hAnsi="Times New Roman" w:eastAsia="宋体" w:cs="Times New Roman"/>
          <w:color w:val="auto"/>
          <w:szCs w:val="24"/>
          <w:lang w:val="zh-CN"/>
        </w:rPr>
      </w:pPr>
    </w:p>
    <w:p w14:paraId="00238C05">
      <w:pPr>
        <w:kinsoku/>
        <w:topLinePunct/>
        <w:snapToGrid/>
        <w:spacing w:line="400" w:lineRule="exact"/>
        <w:ind w:left="2" w:leftChars="1" w:firstLine="480" w:firstLineChars="200"/>
        <w:rPr>
          <w:rFonts w:ascii="Times New Roman" w:hAnsi="Times New Roman" w:eastAsia="宋体" w:cs="Times New Roman"/>
          <w:color w:val="auto"/>
          <w:szCs w:val="24"/>
          <w:lang w:val="zh-CN"/>
        </w:rPr>
      </w:pPr>
      <w:r>
        <w:rPr>
          <w:rFonts w:ascii="Times New Roman" w:hAnsi="Times New Roman" w:eastAsia="宋体" w:cs="Times New Roman"/>
          <w:color w:val="auto"/>
          <w:szCs w:val="24"/>
          <w:lang w:val="zh-CN"/>
        </w:rPr>
        <w:t>如违反上述承诺，同意你单位有权立即否决我单位响应文件，</w:t>
      </w:r>
      <w:r>
        <w:rPr>
          <w:rFonts w:ascii="Times New Roman" w:hAnsi="Times New Roman" w:eastAsia="宋体" w:cs="Times New Roman"/>
          <w:color w:val="auto"/>
          <w:szCs w:val="24"/>
        </w:rPr>
        <w:t>如已成交的，同意</w:t>
      </w:r>
      <w:r>
        <w:rPr>
          <w:rFonts w:ascii="Times New Roman" w:hAnsi="Times New Roman" w:eastAsia="宋体" w:cs="Times New Roman"/>
          <w:color w:val="auto"/>
          <w:szCs w:val="24"/>
          <w:lang w:val="zh-CN"/>
        </w:rPr>
        <w:t>你单位</w:t>
      </w:r>
      <w:r>
        <w:rPr>
          <w:rFonts w:ascii="Times New Roman" w:hAnsi="Times New Roman" w:eastAsia="宋体" w:cs="Times New Roman"/>
          <w:color w:val="auto"/>
          <w:szCs w:val="24"/>
        </w:rPr>
        <w:t>取消我单位成交资格的处理。</w:t>
      </w:r>
      <w:r>
        <w:rPr>
          <w:rFonts w:ascii="Times New Roman" w:hAnsi="Times New Roman" w:eastAsia="宋体" w:cs="Times New Roman"/>
          <w:color w:val="auto"/>
          <w:szCs w:val="24"/>
          <w:lang w:val="zh-CN"/>
        </w:rPr>
        <w:t>有权拒绝我单位在一定时期内进入你单位进行项目建设或其他经营活动，并接受因失信行为限制参加</w:t>
      </w:r>
      <w:r>
        <w:rPr>
          <w:rFonts w:ascii="Times New Roman" w:hAnsi="Times New Roman" w:eastAsia="宋体" w:cs="Times New Roman"/>
          <w:color w:val="auto"/>
          <w:szCs w:val="24"/>
        </w:rPr>
        <w:t>城投集团小额工程</w:t>
      </w:r>
      <w:r>
        <w:rPr>
          <w:rFonts w:ascii="Times New Roman" w:hAnsi="Times New Roman" w:eastAsia="宋体" w:cs="Times New Roman"/>
          <w:color w:val="auto"/>
          <w:szCs w:val="24"/>
          <w:lang w:val="zh-CN"/>
        </w:rPr>
        <w:t>交易活动。由此引起的相应损失均由我单位承担。</w:t>
      </w:r>
    </w:p>
    <w:p w14:paraId="3CD1182D">
      <w:pPr>
        <w:kinsoku/>
        <w:topLinePunct/>
        <w:rPr>
          <w:rFonts w:ascii="Times New Roman" w:hAnsi="Times New Roman" w:cs="Times New Roman"/>
          <w:color w:val="auto"/>
        </w:rPr>
      </w:pPr>
    </w:p>
    <w:p w14:paraId="755B1F82">
      <w:pPr>
        <w:kinsoku/>
        <w:wordWrap w:val="0"/>
        <w:topLinePunct/>
        <w:autoSpaceDE/>
        <w:autoSpaceDN/>
        <w:adjustRightInd/>
        <w:snapToGrid/>
        <w:spacing w:line="360" w:lineRule="auto"/>
        <w:ind w:firstLine="480" w:firstLineChars="200"/>
        <w:rPr>
          <w:rFonts w:ascii="Times New Roman" w:hAnsi="Times New Roman" w:eastAsia="宋体" w:cs="Times New Roman"/>
          <w:color w:val="auto"/>
          <w:szCs w:val="24"/>
        </w:rPr>
      </w:pPr>
    </w:p>
    <w:p w14:paraId="4496C563">
      <w:pPr>
        <w:kinsoku/>
        <w:wordWrap w:val="0"/>
        <w:topLinePunct/>
        <w:autoSpaceDE/>
        <w:autoSpaceDN/>
        <w:adjustRightInd/>
        <w:snapToGrid/>
        <w:spacing w:line="360" w:lineRule="auto"/>
        <w:ind w:firstLine="480" w:firstLineChars="200"/>
        <w:rPr>
          <w:rFonts w:ascii="Times New Roman" w:hAnsi="Times New Roman" w:eastAsia="宋体" w:cs="Times New Roman"/>
          <w:color w:val="auto"/>
          <w:szCs w:val="24"/>
        </w:rPr>
      </w:pPr>
    </w:p>
    <w:p w14:paraId="7D65F494">
      <w:pPr>
        <w:kinsoku/>
        <w:wordWrap w:val="0"/>
        <w:topLinePunct/>
        <w:autoSpaceDE/>
        <w:autoSpaceDN/>
        <w:adjustRightInd/>
        <w:snapToGrid/>
        <w:spacing w:line="360" w:lineRule="auto"/>
        <w:ind w:firstLine="448" w:firstLineChars="200"/>
        <w:rPr>
          <w:rFonts w:ascii="Times New Roman" w:hAnsi="Times New Roman" w:eastAsia="宋体" w:cs="Times New Roman"/>
          <w:color w:val="auto"/>
          <w:spacing w:val="-8"/>
          <w:szCs w:val="24"/>
        </w:rPr>
      </w:pPr>
    </w:p>
    <w:p w14:paraId="71BCE82B">
      <w:pPr>
        <w:kinsoku/>
        <w:wordWrap w:val="0"/>
        <w:topLinePunct/>
        <w:autoSpaceDE/>
        <w:autoSpaceDN/>
        <w:adjustRightInd/>
        <w:snapToGrid/>
        <w:spacing w:line="360" w:lineRule="auto"/>
        <w:ind w:firstLine="448" w:firstLineChars="200"/>
        <w:jc w:val="center"/>
        <w:rPr>
          <w:rFonts w:ascii="Times New Roman" w:hAnsi="Times New Roman" w:eastAsia="宋体" w:cs="Times New Roman"/>
          <w:color w:val="auto"/>
          <w:spacing w:val="-12"/>
          <w:szCs w:val="24"/>
        </w:rPr>
      </w:pPr>
      <w:r>
        <w:rPr>
          <w:rFonts w:ascii="Times New Roman" w:hAnsi="Times New Roman" w:eastAsia="宋体" w:cs="Times New Roman"/>
          <w:color w:val="auto"/>
          <w:spacing w:val="-8"/>
          <w:szCs w:val="24"/>
        </w:rPr>
        <w:t xml:space="preserve">                             </w:t>
      </w:r>
    </w:p>
    <w:p w14:paraId="795FD73F">
      <w:pPr>
        <w:kinsoku/>
        <w:wordWrap w:val="0"/>
        <w:topLinePunct/>
        <w:autoSpaceDE/>
        <w:autoSpaceDN/>
        <w:adjustRightInd/>
        <w:snapToGrid/>
        <w:spacing w:line="360" w:lineRule="auto"/>
        <w:ind w:firstLine="432" w:firstLineChars="200"/>
        <w:jc w:val="center"/>
        <w:rPr>
          <w:rFonts w:ascii="Times New Roman" w:hAnsi="Times New Roman" w:eastAsia="宋体" w:cs="Times New Roman"/>
          <w:color w:val="auto"/>
          <w:spacing w:val="-10"/>
          <w:szCs w:val="24"/>
        </w:rPr>
      </w:pPr>
      <w:r>
        <w:rPr>
          <w:rFonts w:ascii="Times New Roman" w:hAnsi="Times New Roman" w:eastAsia="宋体" w:cs="Times New Roman"/>
          <w:color w:val="auto"/>
          <w:spacing w:val="-12"/>
          <w:szCs w:val="24"/>
        </w:rPr>
        <w:t xml:space="preserve">                　　</w:t>
      </w:r>
      <w:r>
        <w:rPr>
          <w:rFonts w:ascii="Times New Roman" w:hAnsi="Times New Roman" w:eastAsia="宋体" w:cs="Times New Roman"/>
          <w:color w:val="auto"/>
          <w:szCs w:val="24"/>
        </w:rPr>
        <w:t>潜在承包人</w:t>
      </w:r>
      <w:r>
        <w:rPr>
          <w:rFonts w:ascii="Times New Roman" w:hAnsi="Times New Roman" w:cs="Times New Roman"/>
          <w:color w:val="auto"/>
        </w:rPr>
        <w:t>名称(电子签名)</w:t>
      </w:r>
      <w:r>
        <w:rPr>
          <w:rFonts w:ascii="Times New Roman" w:hAnsi="Times New Roman" w:eastAsia="宋体" w:cs="Times New Roman"/>
          <w:color w:val="auto"/>
          <w:spacing w:val="-12"/>
          <w:szCs w:val="24"/>
        </w:rPr>
        <w:t>：</w:t>
      </w:r>
      <w:r>
        <w:rPr>
          <w:rFonts w:ascii="Times New Roman" w:hAnsi="Times New Roman" w:eastAsia="宋体" w:cs="Times New Roman"/>
          <w:color w:val="auto"/>
          <w:spacing w:val="-10"/>
          <w:szCs w:val="24"/>
        </w:rPr>
        <w:t xml:space="preserve"> </w:t>
      </w:r>
    </w:p>
    <w:p w14:paraId="5D05A40A">
      <w:pPr>
        <w:kinsoku/>
        <w:wordWrap w:val="0"/>
        <w:topLinePunct/>
        <w:autoSpaceDE/>
        <w:autoSpaceDN/>
        <w:adjustRightInd/>
        <w:snapToGrid/>
        <w:spacing w:line="360" w:lineRule="auto"/>
        <w:ind w:firstLine="440" w:firstLineChars="200"/>
        <w:jc w:val="center"/>
        <w:rPr>
          <w:rFonts w:ascii="Times New Roman" w:hAnsi="Times New Roman" w:cs="Times New Roman"/>
          <w:color w:val="auto"/>
          <w:u w:val="single"/>
        </w:rPr>
      </w:pPr>
      <w:r>
        <w:rPr>
          <w:rFonts w:ascii="Times New Roman" w:hAnsi="Times New Roman" w:eastAsia="宋体" w:cs="Times New Roman"/>
          <w:color w:val="auto"/>
          <w:spacing w:val="-10"/>
          <w:szCs w:val="24"/>
        </w:rPr>
        <w:t>　　　　　　</w:t>
      </w:r>
      <w:r>
        <w:rPr>
          <w:rFonts w:ascii="Times New Roman" w:hAnsi="Times New Roman" w:cs="Times New Roman"/>
          <w:color w:val="auto"/>
        </w:rPr>
        <w:t>日期：  年   月   日</w:t>
      </w:r>
    </w:p>
    <w:p w14:paraId="14FA8CC1">
      <w:pPr>
        <w:kinsoku/>
        <w:wordWrap w:val="0"/>
        <w:topLinePunct/>
        <w:autoSpaceDE/>
        <w:autoSpaceDN/>
        <w:adjustRightInd/>
        <w:snapToGrid/>
        <w:spacing w:before="36" w:beforeLines="15" w:line="308" w:lineRule="auto"/>
        <w:ind w:firstLine="480" w:firstLineChars="200"/>
        <w:jc w:val="right"/>
        <w:rPr>
          <w:rFonts w:ascii="Times New Roman" w:hAnsi="Times New Roman" w:eastAsia="宋体" w:cs="Times New Roman"/>
          <w:color w:val="auto"/>
          <w:szCs w:val="24"/>
        </w:rPr>
      </w:pPr>
    </w:p>
    <w:p w14:paraId="3446F50D">
      <w:pPr>
        <w:kinsoku/>
        <w:topLinePunct/>
        <w:jc w:val="both"/>
        <w:rPr>
          <w:rFonts w:ascii="Times New Roman" w:hAnsi="Times New Roman" w:cs="Times New Roman"/>
          <w:b/>
          <w:bCs/>
          <w:color w:val="auto"/>
          <w:sz w:val="32"/>
          <w:szCs w:val="32"/>
        </w:rPr>
        <w:sectPr>
          <w:pgSz w:w="11906" w:h="16838"/>
          <w:pgMar w:top="1440" w:right="1083" w:bottom="1440" w:left="1083" w:header="850" w:footer="850" w:gutter="0"/>
          <w:cols w:space="0" w:num="1"/>
        </w:sectPr>
      </w:pPr>
    </w:p>
    <w:p w14:paraId="5A6C6556">
      <w:pPr>
        <w:kinsoku/>
        <w:topLinePunct/>
        <w:rPr>
          <w:rFonts w:ascii="Times New Roman" w:hAnsi="Times New Roman" w:eastAsia="仿宋_GB2312" w:cs="Times New Roman"/>
          <w:color w:val="auto"/>
          <w:sz w:val="32"/>
          <w:szCs w:val="32"/>
        </w:rPr>
      </w:pPr>
    </w:p>
    <w:p w14:paraId="0B2A2431">
      <w:pPr>
        <w:kinsoku/>
        <w:topLinePunct/>
        <w:adjustRightInd/>
        <w:spacing w:before="1" w:line="218" w:lineRule="auto"/>
        <w:jc w:val="center"/>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pPr>
    </w:p>
    <w:p w14:paraId="38FB354F">
      <w:pPr>
        <w:pStyle w:val="3"/>
        <w:kinsoku/>
        <w:topLinePunct/>
        <w:rPr>
          <w:rFonts w:ascii="Times New Roman" w:hAnsi="Times New Roman" w:eastAsia="宋体" w:cs="Times New Roman"/>
          <w:b w:val="0"/>
          <w:bCs w:val="0"/>
          <w:color w:val="auto"/>
          <w:sz w:val="44"/>
          <w:szCs w:val="44"/>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法定代</w:t>
      </w:r>
      <w:r>
        <w:rPr>
          <w:rFonts w:ascii="Times New Roman" w:hAnsi="Times New Roman" w:eastAsia="宋体" w:cs="Times New Roman"/>
          <w:b w:val="0"/>
          <w:bCs w:val="0"/>
          <w:color w:val="auto"/>
          <w:sz w:val="44"/>
          <w:szCs w:val="44"/>
          <w14:textOutline w14:w="5448" w14:cap="flat" w14:cmpd="sng" w14:algn="ctr">
            <w14:solidFill>
              <w14:srgbClr w14:val="000000"/>
            </w14:solidFill>
            <w14:prstDash w14:val="solid"/>
            <w14:miter w14:val="0"/>
          </w14:textOutline>
        </w:rPr>
        <w:t>表人身份证明书</w:t>
      </w:r>
    </w:p>
    <w:p w14:paraId="409BC901">
      <w:pPr>
        <w:kinsoku/>
        <w:topLinePunct/>
        <w:adjustRightInd/>
        <w:spacing w:before="212" w:line="500" w:lineRule="exact"/>
        <w:ind w:firstLine="432" w:firstLineChars="200"/>
        <w:rPr>
          <w:rFonts w:ascii="Times New Roman" w:hAnsi="Times New Roman" w:eastAsia="宋体" w:cs="Times New Roman"/>
          <w:color w:val="auto"/>
          <w:spacing w:val="-12"/>
          <w:position w:val="19"/>
          <w:szCs w:val="24"/>
        </w:rPr>
      </w:pPr>
    </w:p>
    <w:p w14:paraId="5CA1F8B9">
      <w:pPr>
        <w:kinsoku/>
        <w:topLinePunct/>
        <w:spacing w:before="78" w:line="220" w:lineRule="auto"/>
        <w:ind w:left="1"/>
        <w:rPr>
          <w:rFonts w:ascii="Times New Roman" w:hAnsi="Times New Roman" w:eastAsia="宋体" w:cs="Times New Roman"/>
          <w:color w:val="auto"/>
          <w:szCs w:val="24"/>
        </w:rPr>
      </w:pPr>
      <w:r>
        <w:rPr>
          <w:rFonts w:ascii="Times New Roman" w:hAnsi="Times New Roman" w:eastAsia="宋体" w:cs="Times New Roman"/>
          <w:color w:val="auto"/>
          <w:spacing w:val="-32"/>
          <w:szCs w:val="24"/>
        </w:rPr>
        <w:t>单</w:t>
      </w:r>
      <w:r>
        <w:rPr>
          <w:rFonts w:ascii="Times New Roman" w:hAnsi="Times New Roman" w:eastAsia="宋体" w:cs="Times New Roman"/>
          <w:color w:val="auto"/>
          <w:spacing w:val="-29"/>
          <w:szCs w:val="24"/>
        </w:rPr>
        <w:t>位名称：</w:t>
      </w:r>
      <w:r>
        <w:rPr>
          <w:rFonts w:ascii="Times New Roman" w:hAnsi="Times New Roman" w:eastAsia="宋体" w:cs="Times New Roman"/>
          <w:color w:val="auto"/>
          <w:szCs w:val="24"/>
          <w:u w:val="single"/>
        </w:rPr>
        <w:t xml:space="preserve">                                     </w:t>
      </w:r>
    </w:p>
    <w:p w14:paraId="3CCB083E">
      <w:pPr>
        <w:kinsoku/>
        <w:topLinePunct/>
        <w:spacing w:line="249" w:lineRule="auto"/>
        <w:rPr>
          <w:rFonts w:ascii="Times New Roman" w:hAnsi="Times New Roman" w:cs="Times New Roman"/>
          <w:color w:val="auto"/>
          <w:sz w:val="21"/>
        </w:rPr>
      </w:pPr>
    </w:p>
    <w:p w14:paraId="55781F45">
      <w:pPr>
        <w:kinsoku/>
        <w:topLinePunct/>
        <w:spacing w:before="78" w:line="229" w:lineRule="auto"/>
        <w:rPr>
          <w:rFonts w:ascii="Times New Roman" w:hAnsi="Times New Roman" w:eastAsia="宋体" w:cs="Times New Roman"/>
          <w:color w:val="auto"/>
          <w:szCs w:val="24"/>
        </w:rPr>
      </w:pPr>
      <w:r>
        <w:rPr>
          <w:rFonts w:ascii="Times New Roman" w:hAnsi="Times New Roman" w:eastAsia="宋体" w:cs="Times New Roman"/>
          <w:color w:val="auto"/>
          <w:spacing w:val="-13"/>
          <w:szCs w:val="24"/>
        </w:rPr>
        <w:t>地</w:t>
      </w:r>
      <w:r>
        <w:rPr>
          <w:rFonts w:ascii="Times New Roman" w:hAnsi="Times New Roman" w:eastAsia="宋体" w:cs="Times New Roman"/>
          <w:color w:val="auto"/>
          <w:spacing w:val="-7"/>
          <w:szCs w:val="24"/>
        </w:rPr>
        <w:t xml:space="preserve">   址：</w:t>
      </w:r>
      <w:r>
        <w:rPr>
          <w:rFonts w:ascii="Times New Roman" w:hAnsi="Times New Roman" w:eastAsia="宋体" w:cs="Times New Roman"/>
          <w:color w:val="auto"/>
          <w:szCs w:val="24"/>
          <w:u w:val="single"/>
        </w:rPr>
        <w:t xml:space="preserve">                                      </w:t>
      </w:r>
    </w:p>
    <w:p w14:paraId="2734DA52">
      <w:pPr>
        <w:kinsoku/>
        <w:topLinePunct/>
        <w:spacing w:line="253" w:lineRule="auto"/>
        <w:rPr>
          <w:rFonts w:ascii="Times New Roman" w:hAnsi="Times New Roman" w:cs="Times New Roman"/>
          <w:color w:val="auto"/>
          <w:sz w:val="21"/>
        </w:rPr>
      </w:pPr>
    </w:p>
    <w:p w14:paraId="2A3B5CAC">
      <w:pPr>
        <w:kinsoku/>
        <w:topLinePunct/>
        <w:adjustRightInd/>
        <w:spacing w:before="1" w:line="220" w:lineRule="auto"/>
        <w:rPr>
          <w:rFonts w:ascii="Times New Roman" w:hAnsi="Times New Roman" w:eastAsia="宋体" w:cs="Times New Roman"/>
          <w:color w:val="auto"/>
          <w:spacing w:val="-8"/>
          <w:szCs w:val="24"/>
        </w:rPr>
      </w:pPr>
      <w:r>
        <w:rPr>
          <w:rFonts w:ascii="Times New Roman" w:hAnsi="Times New Roman" w:eastAsia="宋体" w:cs="Times New Roman"/>
          <w:color w:val="auto"/>
          <w:spacing w:val="-16"/>
          <w:szCs w:val="24"/>
        </w:rPr>
        <w:t>姓</w:t>
      </w:r>
      <w:r>
        <w:rPr>
          <w:rFonts w:ascii="Times New Roman" w:hAnsi="Times New Roman" w:eastAsia="宋体" w:cs="Times New Roman"/>
          <w:color w:val="auto"/>
          <w:spacing w:val="-15"/>
          <w:szCs w:val="24"/>
        </w:rPr>
        <w:t>名</w:t>
      </w:r>
      <w:r>
        <w:rPr>
          <w:rFonts w:ascii="Times New Roman" w:hAnsi="Times New Roman" w:eastAsia="宋体" w:cs="Times New Roman"/>
          <w:color w:val="auto"/>
          <w:spacing w:val="-8"/>
          <w:szCs w:val="24"/>
        </w:rPr>
        <w:t>：</w:t>
      </w:r>
      <w:r>
        <w:rPr>
          <w:rFonts w:ascii="Times New Roman" w:hAnsi="Times New Roman" w:eastAsia="宋体" w:cs="Times New Roman"/>
          <w:color w:val="auto"/>
          <w:spacing w:val="-8"/>
          <w:szCs w:val="24"/>
          <w:u w:val="single"/>
        </w:rPr>
        <w:t xml:space="preserve">           </w:t>
      </w:r>
      <w:r>
        <w:rPr>
          <w:rFonts w:ascii="Times New Roman" w:hAnsi="Times New Roman" w:eastAsia="宋体" w:cs="Times New Roman"/>
          <w:color w:val="auto"/>
          <w:spacing w:val="-8"/>
          <w:szCs w:val="24"/>
        </w:rPr>
        <w:t>性别：</w:t>
      </w:r>
      <w:r>
        <w:rPr>
          <w:rFonts w:ascii="Times New Roman" w:hAnsi="Times New Roman" w:eastAsia="宋体" w:cs="Times New Roman"/>
          <w:color w:val="auto"/>
          <w:spacing w:val="-8"/>
          <w:szCs w:val="24"/>
          <w:u w:val="single"/>
        </w:rPr>
        <w:t xml:space="preserve">       </w:t>
      </w:r>
      <w:r>
        <w:rPr>
          <w:rFonts w:ascii="Times New Roman" w:hAnsi="Times New Roman" w:eastAsia="宋体" w:cs="Times New Roman"/>
          <w:color w:val="auto"/>
          <w:spacing w:val="-8"/>
          <w:szCs w:val="24"/>
        </w:rPr>
        <w:t>年龄：</w:t>
      </w:r>
      <w:r>
        <w:rPr>
          <w:rFonts w:ascii="Times New Roman" w:hAnsi="Times New Roman" w:eastAsia="宋体" w:cs="Times New Roman"/>
          <w:color w:val="auto"/>
          <w:spacing w:val="-8"/>
          <w:szCs w:val="24"/>
          <w:u w:val="single"/>
        </w:rPr>
        <w:t xml:space="preserve">       </w:t>
      </w:r>
      <w:r>
        <w:rPr>
          <w:rFonts w:ascii="Times New Roman" w:hAnsi="Times New Roman" w:eastAsia="宋体" w:cs="Times New Roman"/>
          <w:color w:val="auto"/>
          <w:spacing w:val="-8"/>
          <w:szCs w:val="24"/>
        </w:rPr>
        <w:t>职务：</w:t>
      </w:r>
      <w:r>
        <w:rPr>
          <w:rFonts w:ascii="Times New Roman" w:hAnsi="Times New Roman" w:eastAsia="宋体" w:cs="Times New Roman"/>
          <w:color w:val="auto"/>
          <w:spacing w:val="-8"/>
          <w:szCs w:val="24"/>
          <w:u w:val="single"/>
        </w:rPr>
        <w:t xml:space="preserve">       </w:t>
      </w:r>
      <w:r>
        <w:rPr>
          <w:rFonts w:ascii="Times New Roman" w:hAnsi="Times New Roman" w:eastAsia="宋体" w:cs="Times New Roman"/>
          <w:color w:val="auto"/>
          <w:spacing w:val="-8"/>
          <w:szCs w:val="24"/>
        </w:rPr>
        <w:t>系</w:t>
      </w:r>
      <w:r>
        <w:rPr>
          <w:rFonts w:ascii="Times New Roman" w:hAnsi="Times New Roman" w:eastAsia="宋体" w:cs="Times New Roman"/>
          <w:color w:val="auto"/>
          <w:spacing w:val="-8"/>
          <w:szCs w:val="24"/>
          <w:u w:val="single"/>
        </w:rPr>
        <w:t xml:space="preserve">         </w:t>
      </w:r>
      <w:r>
        <w:rPr>
          <w:rFonts w:ascii="Times New Roman" w:hAnsi="Times New Roman" w:eastAsia="宋体" w:cs="Times New Roman"/>
          <w:color w:val="auto"/>
          <w:spacing w:val="-8"/>
          <w:szCs w:val="24"/>
        </w:rPr>
        <w:t>的法定代表人。</w:t>
      </w:r>
    </w:p>
    <w:p w14:paraId="494D8AB8">
      <w:pPr>
        <w:kinsoku/>
        <w:topLinePunct/>
        <w:adjustRightInd/>
        <w:spacing w:before="1" w:line="220" w:lineRule="auto"/>
        <w:ind w:firstLine="448" w:firstLineChars="200"/>
        <w:rPr>
          <w:rFonts w:ascii="Times New Roman" w:hAnsi="Times New Roman" w:eastAsia="宋体" w:cs="Times New Roman"/>
          <w:color w:val="auto"/>
          <w:spacing w:val="-8"/>
          <w:szCs w:val="24"/>
        </w:rPr>
      </w:pPr>
    </w:p>
    <w:p w14:paraId="4F6249A5">
      <w:pPr>
        <w:kinsoku/>
        <w:topLinePunct/>
        <w:spacing w:before="78" w:line="219" w:lineRule="auto"/>
        <w:ind w:left="258"/>
        <w:rPr>
          <w:rFonts w:ascii="Times New Roman" w:hAnsi="Times New Roman" w:eastAsia="宋体" w:cs="Times New Roman"/>
          <w:color w:val="auto"/>
          <w:szCs w:val="24"/>
        </w:rPr>
      </w:pPr>
      <w:r>
        <w:rPr>
          <w:rFonts w:ascii="Times New Roman" w:hAnsi="Times New Roman" w:eastAsia="宋体" w:cs="Times New Roman"/>
          <w:color w:val="auto"/>
          <w:szCs w:val="24"/>
        </w:rPr>
        <w:t>附</w:t>
      </w:r>
    </w:p>
    <w:p w14:paraId="298F0FA1">
      <w:pPr>
        <w:kinsoku/>
        <w:topLinePunct/>
        <w:spacing w:line="27" w:lineRule="exact"/>
        <w:rPr>
          <w:rFonts w:ascii="Times New Roman" w:hAnsi="Times New Roman" w:cs="Times New Roman"/>
          <w:color w:val="auto"/>
        </w:rPr>
      </w:pPr>
    </w:p>
    <w:tbl>
      <w:tblPr>
        <w:tblStyle w:val="29"/>
        <w:tblW w:w="6683" w:type="dxa"/>
        <w:tblInd w:w="10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83"/>
      </w:tblGrid>
      <w:tr w14:paraId="6ACE3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2" w:hRule="atLeast"/>
        </w:trPr>
        <w:tc>
          <w:tcPr>
            <w:tcW w:w="6683" w:type="dxa"/>
            <w:tcBorders>
              <w:top w:val="single" w:color="000000" w:sz="2" w:space="0"/>
              <w:bottom w:val="single" w:color="000000" w:sz="2" w:space="0"/>
            </w:tcBorders>
          </w:tcPr>
          <w:p w14:paraId="5AD85120">
            <w:pPr>
              <w:kinsoku/>
              <w:topLinePunct/>
              <w:spacing w:line="251" w:lineRule="auto"/>
              <w:rPr>
                <w:rFonts w:ascii="Times New Roman" w:hAnsi="Times New Roman" w:cs="Times New Roman"/>
                <w:color w:val="auto"/>
                <w:sz w:val="21"/>
              </w:rPr>
            </w:pPr>
          </w:p>
          <w:p w14:paraId="6D6C11F1">
            <w:pPr>
              <w:kinsoku/>
              <w:topLinePunct/>
              <w:spacing w:line="251" w:lineRule="auto"/>
              <w:rPr>
                <w:rFonts w:ascii="Times New Roman" w:hAnsi="Times New Roman" w:cs="Times New Roman"/>
                <w:color w:val="auto"/>
                <w:sz w:val="21"/>
              </w:rPr>
            </w:pPr>
          </w:p>
          <w:p w14:paraId="1811BB97">
            <w:pPr>
              <w:kinsoku/>
              <w:topLinePunct/>
              <w:spacing w:line="253" w:lineRule="auto"/>
              <w:rPr>
                <w:rFonts w:ascii="Times New Roman" w:hAnsi="Times New Roman" w:cs="Times New Roman"/>
                <w:color w:val="auto"/>
                <w:sz w:val="21"/>
              </w:rPr>
            </w:pPr>
          </w:p>
          <w:p w14:paraId="08C0B127">
            <w:pPr>
              <w:kinsoku/>
              <w:topLinePunct/>
              <w:spacing w:line="253" w:lineRule="auto"/>
              <w:rPr>
                <w:rFonts w:ascii="Times New Roman" w:hAnsi="Times New Roman" w:cs="Times New Roman"/>
                <w:color w:val="auto"/>
                <w:sz w:val="21"/>
              </w:rPr>
            </w:pPr>
          </w:p>
          <w:p w14:paraId="5242776F">
            <w:pPr>
              <w:kinsoku/>
              <w:topLinePunct/>
              <w:spacing w:before="78" w:line="199" w:lineRule="auto"/>
              <w:ind w:left="1437"/>
              <w:rPr>
                <w:rFonts w:ascii="Times New Roman" w:hAnsi="Times New Roman" w:eastAsia="宋体" w:cs="Times New Roman"/>
                <w:color w:val="auto"/>
                <w:szCs w:val="24"/>
              </w:rPr>
            </w:pPr>
            <w:r>
              <w:rPr>
                <w:rFonts w:ascii="Times New Roman" w:hAnsi="Times New Roman" w:eastAsia="宋体" w:cs="Times New Roman"/>
                <w:color w:val="auto"/>
                <w:spacing w:val="-1"/>
                <w:szCs w:val="24"/>
              </w:rPr>
              <w:t>法定代</w:t>
            </w:r>
            <w:r>
              <w:rPr>
                <w:rFonts w:ascii="Times New Roman" w:hAnsi="Times New Roman" w:eastAsia="宋体" w:cs="Times New Roman"/>
                <w:color w:val="auto"/>
                <w:szCs w:val="24"/>
              </w:rPr>
              <w:t>表人身份证正面复印件粘贴处</w:t>
            </w:r>
          </w:p>
          <w:p w14:paraId="5AE51F53">
            <w:pPr>
              <w:kinsoku/>
              <w:topLinePunct/>
              <w:spacing w:line="1198" w:lineRule="exact"/>
              <w:rPr>
                <w:rFonts w:ascii="Times New Roman" w:hAnsi="Times New Roman" w:cs="Times New Roman"/>
                <w:color w:val="auto"/>
                <w:sz w:val="170"/>
                <w:szCs w:val="170"/>
              </w:rPr>
            </w:pPr>
          </w:p>
        </w:tc>
      </w:tr>
      <w:tr w14:paraId="68CF2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3" w:hRule="atLeast"/>
        </w:trPr>
        <w:tc>
          <w:tcPr>
            <w:tcW w:w="6683" w:type="dxa"/>
            <w:tcBorders>
              <w:top w:val="single" w:color="000000" w:sz="2" w:space="0"/>
              <w:bottom w:val="single" w:color="000000" w:sz="2" w:space="0"/>
            </w:tcBorders>
          </w:tcPr>
          <w:p w14:paraId="75577D9B">
            <w:pPr>
              <w:kinsoku/>
              <w:topLinePunct/>
              <w:spacing w:line="285" w:lineRule="auto"/>
              <w:rPr>
                <w:rFonts w:ascii="Times New Roman" w:hAnsi="Times New Roman" w:cs="Times New Roman"/>
                <w:color w:val="auto"/>
                <w:sz w:val="21"/>
              </w:rPr>
            </w:pPr>
          </w:p>
          <w:p w14:paraId="714571E4">
            <w:pPr>
              <w:kinsoku/>
              <w:topLinePunct/>
              <w:spacing w:line="286" w:lineRule="auto"/>
              <w:rPr>
                <w:rFonts w:ascii="Times New Roman" w:hAnsi="Times New Roman" w:cs="Times New Roman"/>
                <w:color w:val="auto"/>
                <w:sz w:val="21"/>
              </w:rPr>
            </w:pPr>
          </w:p>
          <w:p w14:paraId="63804FA7">
            <w:pPr>
              <w:kinsoku/>
              <w:topLinePunct/>
              <w:spacing w:line="286" w:lineRule="auto"/>
              <w:rPr>
                <w:rFonts w:ascii="Times New Roman" w:hAnsi="Times New Roman" w:cs="Times New Roman"/>
                <w:color w:val="auto"/>
                <w:sz w:val="21"/>
              </w:rPr>
            </w:pPr>
          </w:p>
          <w:p w14:paraId="65468A78">
            <w:pPr>
              <w:kinsoku/>
              <w:topLinePunct/>
              <w:spacing w:before="78" w:line="218" w:lineRule="auto"/>
              <w:ind w:left="1437"/>
              <w:rPr>
                <w:rFonts w:ascii="Times New Roman" w:hAnsi="Times New Roman" w:eastAsia="宋体" w:cs="Times New Roman"/>
                <w:color w:val="auto"/>
                <w:szCs w:val="24"/>
              </w:rPr>
            </w:pPr>
            <w:r>
              <w:rPr>
                <w:rFonts w:ascii="Times New Roman" w:hAnsi="Times New Roman" w:eastAsia="宋体" w:cs="Times New Roman"/>
                <w:color w:val="auto"/>
                <w:spacing w:val="-1"/>
                <w:szCs w:val="24"/>
              </w:rPr>
              <w:t>法定代</w:t>
            </w:r>
            <w:r>
              <w:rPr>
                <w:rFonts w:ascii="Times New Roman" w:hAnsi="Times New Roman" w:eastAsia="宋体" w:cs="Times New Roman"/>
                <w:color w:val="auto"/>
                <w:szCs w:val="24"/>
              </w:rPr>
              <w:t>表人身份证背面复印件粘贴处</w:t>
            </w:r>
          </w:p>
        </w:tc>
      </w:tr>
    </w:tbl>
    <w:p w14:paraId="139FB8C1">
      <w:pPr>
        <w:kinsoku/>
        <w:topLinePunct/>
        <w:spacing w:before="33" w:line="220" w:lineRule="auto"/>
        <w:rPr>
          <w:rFonts w:ascii="Times New Roman" w:hAnsi="Times New Roman" w:eastAsia="宋体" w:cs="Times New Roman"/>
          <w:color w:val="auto"/>
          <w:spacing w:val="-9"/>
          <w:szCs w:val="24"/>
        </w:rPr>
      </w:pPr>
    </w:p>
    <w:p w14:paraId="14BEC4DB">
      <w:pPr>
        <w:kinsoku/>
        <w:topLinePunct/>
        <w:spacing w:before="33" w:line="220" w:lineRule="auto"/>
        <w:rPr>
          <w:rFonts w:ascii="Times New Roman" w:hAnsi="Times New Roman" w:eastAsia="宋体" w:cs="Times New Roman"/>
          <w:color w:val="auto"/>
          <w:szCs w:val="24"/>
        </w:rPr>
      </w:pPr>
      <w:r>
        <w:rPr>
          <w:rFonts w:ascii="Times New Roman" w:hAnsi="Times New Roman" w:eastAsia="宋体" w:cs="Times New Roman"/>
          <w:color w:val="auto"/>
          <w:spacing w:val="-9"/>
          <w:szCs w:val="24"/>
        </w:rPr>
        <w:t>特</w:t>
      </w:r>
      <w:r>
        <w:rPr>
          <w:rFonts w:ascii="Times New Roman" w:hAnsi="Times New Roman" w:eastAsia="宋体" w:cs="Times New Roman"/>
          <w:color w:val="auto"/>
          <w:spacing w:val="-6"/>
          <w:szCs w:val="24"/>
        </w:rPr>
        <w:t>此证明。</w:t>
      </w:r>
    </w:p>
    <w:p w14:paraId="7F611808">
      <w:pPr>
        <w:kinsoku/>
        <w:topLinePunct/>
        <w:adjustRightInd/>
        <w:spacing w:line="297" w:lineRule="auto"/>
        <w:rPr>
          <w:rFonts w:ascii="Times New Roman" w:hAnsi="Times New Roman" w:eastAsia="仿宋_GB2312" w:cs="Times New Roman"/>
          <w:color w:val="auto"/>
          <w:sz w:val="32"/>
          <w:szCs w:val="32"/>
        </w:rPr>
      </w:pPr>
    </w:p>
    <w:p w14:paraId="31B03DA6">
      <w:pPr>
        <w:kinsoku/>
        <w:topLinePunct/>
        <w:adjustRightInd/>
        <w:spacing w:line="297" w:lineRule="auto"/>
        <w:rPr>
          <w:rFonts w:ascii="Times New Roman" w:hAnsi="Times New Roman" w:eastAsia="仿宋_GB2312" w:cs="Times New Roman"/>
          <w:color w:val="auto"/>
          <w:sz w:val="32"/>
          <w:szCs w:val="32"/>
        </w:rPr>
      </w:pPr>
    </w:p>
    <w:p w14:paraId="091DD1EC">
      <w:pPr>
        <w:kinsoku/>
        <w:topLinePunct/>
        <w:spacing w:before="33" w:line="220" w:lineRule="auto"/>
        <w:jc w:val="center"/>
        <w:rPr>
          <w:rFonts w:ascii="Times New Roman" w:hAnsi="Times New Roman" w:eastAsia="宋体" w:cs="Times New Roman"/>
          <w:color w:val="auto"/>
          <w:spacing w:val="-9"/>
          <w:szCs w:val="24"/>
        </w:rPr>
      </w:pPr>
      <w:r>
        <w:rPr>
          <w:rFonts w:ascii="Times New Roman" w:hAnsi="Times New Roman" w:eastAsia="宋体" w:cs="Times New Roman"/>
          <w:color w:val="auto"/>
          <w:spacing w:val="-9"/>
          <w:szCs w:val="24"/>
        </w:rPr>
        <w:t xml:space="preserve">                          　　　　　　</w:t>
      </w:r>
      <w:r>
        <w:rPr>
          <w:rFonts w:ascii="Times New Roman" w:hAnsi="Times New Roman" w:eastAsia="宋体" w:cs="Times New Roman"/>
          <w:color w:val="auto"/>
          <w:szCs w:val="24"/>
        </w:rPr>
        <w:t>潜在承包人</w:t>
      </w:r>
      <w:r>
        <w:rPr>
          <w:rFonts w:ascii="Times New Roman" w:hAnsi="Times New Roman" w:cs="Times New Roman"/>
          <w:color w:val="auto"/>
        </w:rPr>
        <w:t>名称(电子签名)</w:t>
      </w:r>
      <w:r>
        <w:rPr>
          <w:rFonts w:ascii="Times New Roman" w:hAnsi="Times New Roman" w:eastAsia="宋体" w:cs="Times New Roman"/>
          <w:color w:val="auto"/>
          <w:spacing w:val="-9"/>
          <w:szCs w:val="24"/>
        </w:rPr>
        <w:t>：</w:t>
      </w:r>
    </w:p>
    <w:p w14:paraId="45625A24">
      <w:pPr>
        <w:kinsoku/>
        <w:topLinePunct/>
        <w:spacing w:before="33" w:line="220" w:lineRule="auto"/>
        <w:jc w:val="right"/>
        <w:rPr>
          <w:rFonts w:ascii="Times New Roman" w:hAnsi="Times New Roman" w:eastAsia="宋体" w:cs="Times New Roman"/>
          <w:color w:val="auto"/>
          <w:spacing w:val="-9"/>
          <w:szCs w:val="24"/>
        </w:rPr>
      </w:pPr>
      <w:r>
        <w:rPr>
          <w:rFonts w:ascii="Times New Roman" w:hAnsi="Times New Roman" w:eastAsia="宋体" w:cs="Times New Roman"/>
          <w:color w:val="auto"/>
          <w:spacing w:val="-9"/>
          <w:szCs w:val="24"/>
        </w:rPr>
        <w:t xml:space="preserve">    </w:t>
      </w:r>
    </w:p>
    <w:p w14:paraId="6B212B5D">
      <w:pPr>
        <w:kinsoku/>
        <w:topLinePunct/>
        <w:spacing w:before="79" w:line="220" w:lineRule="auto"/>
        <w:ind w:right="189"/>
        <w:jc w:val="center"/>
        <w:rPr>
          <w:rFonts w:ascii="Times New Roman" w:hAnsi="Times New Roman" w:eastAsia="宋体" w:cs="Times New Roman"/>
          <w:color w:val="auto"/>
          <w:spacing w:val="-3"/>
          <w:szCs w:val="24"/>
        </w:rPr>
      </w:pPr>
      <w:r>
        <w:rPr>
          <w:rFonts w:ascii="Times New Roman" w:hAnsi="Times New Roman" w:eastAsia="宋体" w:cs="Times New Roman"/>
          <w:color w:val="auto"/>
          <w:spacing w:val="-6"/>
          <w:szCs w:val="24"/>
        </w:rPr>
        <w:t xml:space="preserve">                                 　　日 </w:t>
      </w:r>
      <w:r>
        <w:rPr>
          <w:rFonts w:ascii="Times New Roman" w:hAnsi="Times New Roman" w:eastAsia="宋体" w:cs="Times New Roman"/>
          <w:color w:val="auto"/>
          <w:spacing w:val="-4"/>
          <w:szCs w:val="24"/>
        </w:rPr>
        <w:t>期</w:t>
      </w:r>
      <w:r>
        <w:rPr>
          <w:rFonts w:ascii="Times New Roman" w:hAnsi="Times New Roman" w:eastAsia="宋体" w:cs="Times New Roman"/>
          <w:color w:val="auto"/>
          <w:spacing w:val="-3"/>
          <w:szCs w:val="24"/>
        </w:rPr>
        <w:t>：　　年　　月　　日</w:t>
      </w:r>
    </w:p>
    <w:p w14:paraId="553839DD">
      <w:pPr>
        <w:kinsoku/>
        <w:topLinePunct/>
        <w:rPr>
          <w:rFonts w:ascii="Times New Roman" w:hAnsi="Times New Roman" w:cs="Times New Roman"/>
          <w:color w:val="auto"/>
        </w:rPr>
      </w:pPr>
    </w:p>
    <w:p w14:paraId="12A0F645">
      <w:pPr>
        <w:kinsoku/>
        <w:topLinePunct/>
        <w:adjustRightInd/>
        <w:ind w:firstLine="480" w:firstLineChars="200"/>
        <w:jc w:val="right"/>
        <w:rPr>
          <w:rFonts w:ascii="Times New Roman" w:hAnsi="Times New Roman" w:cs="Times New Roman"/>
          <w:color w:val="auto"/>
        </w:rPr>
      </w:pPr>
    </w:p>
    <w:p w14:paraId="35BB982D">
      <w:pPr>
        <w:pStyle w:val="3"/>
        <w:kinsoku/>
        <w:topLinePunct/>
        <w:rPr>
          <w:rFonts w:ascii="Times New Roman" w:hAnsi="Times New Roman" w:cs="Times New Roman"/>
          <w:color w:val="auto"/>
        </w:rPr>
        <w:sectPr>
          <w:footerReference r:id="rId23" w:type="default"/>
          <w:pgSz w:w="11906" w:h="16838"/>
          <w:pgMar w:top="1440" w:right="1083" w:bottom="1440" w:left="1083" w:header="850" w:footer="850" w:gutter="0"/>
          <w:cols w:space="0" w:num="1"/>
        </w:sectPr>
      </w:pPr>
    </w:p>
    <w:p w14:paraId="29991E34">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授权委托书</w:t>
      </w:r>
    </w:p>
    <w:p w14:paraId="0C6DA5F2">
      <w:pPr>
        <w:tabs>
          <w:tab w:val="left" w:pos="123"/>
        </w:tabs>
        <w:kinsoku/>
        <w:topLinePunct/>
        <w:adjustRightInd/>
        <w:spacing w:before="214" w:line="385" w:lineRule="auto"/>
        <w:ind w:firstLine="472" w:firstLineChars="200"/>
        <w:rPr>
          <w:rFonts w:ascii="Times New Roman" w:hAnsi="Times New Roman" w:eastAsia="宋体" w:cs="Times New Roman"/>
          <w:color w:val="auto"/>
          <w:spacing w:val="-2"/>
          <w:szCs w:val="24"/>
        </w:rPr>
      </w:pPr>
    </w:p>
    <w:p w14:paraId="04724828">
      <w:pPr>
        <w:kinsoku/>
        <w:topLinePunct/>
        <w:spacing w:before="78" w:line="469" w:lineRule="auto"/>
        <w:ind w:firstLine="722"/>
        <w:rPr>
          <w:rFonts w:ascii="Times New Roman" w:hAnsi="Times New Roman" w:eastAsia="宋体" w:cs="Times New Roman"/>
          <w:color w:val="auto"/>
          <w:spacing w:val="-2"/>
          <w:szCs w:val="24"/>
        </w:rPr>
      </w:pPr>
      <w:r>
        <w:rPr>
          <w:rFonts w:ascii="Times New Roman" w:hAnsi="Times New Roman" w:eastAsia="宋体" w:cs="Times New Roman"/>
          <w:color w:val="auto"/>
          <w:spacing w:val="-8"/>
          <w:szCs w:val="24"/>
        </w:rPr>
        <w:t>本授权委托书</w:t>
      </w:r>
      <w:r>
        <w:rPr>
          <w:rFonts w:ascii="Times New Roman" w:hAnsi="Times New Roman" w:eastAsia="宋体" w:cs="Times New Roman"/>
          <w:color w:val="auto"/>
          <w:spacing w:val="-4"/>
          <w:szCs w:val="24"/>
        </w:rPr>
        <w:t>声明：我</w:t>
      </w:r>
      <w:r>
        <w:rPr>
          <w:rFonts w:ascii="Times New Roman" w:hAnsi="Times New Roman" w:eastAsia="宋体" w:cs="Times New Roman"/>
          <w:color w:val="auto"/>
          <w:spacing w:val="-4"/>
          <w:szCs w:val="24"/>
          <w:u w:val="single"/>
        </w:rPr>
        <w:t xml:space="preserve">    (姓名)  </w:t>
      </w:r>
      <w:r>
        <w:rPr>
          <w:rFonts w:ascii="Times New Roman" w:hAnsi="Times New Roman" w:eastAsia="宋体" w:cs="Times New Roman"/>
          <w:color w:val="auto"/>
          <w:spacing w:val="-4"/>
          <w:szCs w:val="24"/>
        </w:rPr>
        <w:t xml:space="preserve"> 系</w:t>
      </w:r>
      <w:r>
        <w:rPr>
          <w:rFonts w:ascii="Times New Roman" w:hAnsi="Times New Roman" w:eastAsia="宋体" w:cs="Times New Roman"/>
          <w:color w:val="auto"/>
          <w:spacing w:val="-4"/>
          <w:szCs w:val="24"/>
          <w:u w:val="single"/>
        </w:rPr>
        <w:t xml:space="preserve">     (单位名称)  </w:t>
      </w:r>
      <w:r>
        <w:rPr>
          <w:rFonts w:ascii="Times New Roman" w:hAnsi="Times New Roman" w:eastAsia="宋体" w:cs="Times New Roman"/>
          <w:color w:val="auto"/>
          <w:spacing w:val="-4"/>
          <w:szCs w:val="24"/>
        </w:rPr>
        <w:t xml:space="preserve"> 的法定代</w:t>
      </w:r>
      <w:r>
        <w:rPr>
          <w:rFonts w:ascii="Times New Roman" w:hAnsi="Times New Roman" w:eastAsia="宋体" w:cs="Times New Roman"/>
          <w:color w:val="auto"/>
          <w:spacing w:val="1"/>
          <w:szCs w:val="24"/>
        </w:rPr>
        <w:t>表人，现</w:t>
      </w:r>
      <w:r>
        <w:rPr>
          <w:rFonts w:ascii="Times New Roman" w:hAnsi="Times New Roman" w:eastAsia="宋体" w:cs="Times New Roman"/>
          <w:color w:val="auto"/>
          <w:szCs w:val="24"/>
        </w:rPr>
        <w:t>授权委托</w:t>
      </w:r>
      <w:r>
        <w:rPr>
          <w:rFonts w:ascii="Times New Roman" w:hAnsi="Times New Roman" w:eastAsia="宋体" w:cs="Times New Roman"/>
          <w:color w:val="auto"/>
          <w:szCs w:val="24"/>
          <w:u w:val="single"/>
        </w:rPr>
        <w:t xml:space="preserve">      (姓名)  </w:t>
      </w:r>
      <w:r>
        <w:rPr>
          <w:rFonts w:ascii="Times New Roman" w:hAnsi="Times New Roman" w:eastAsia="宋体" w:cs="Times New Roman"/>
          <w:color w:val="auto"/>
          <w:szCs w:val="24"/>
        </w:rPr>
        <w:t xml:space="preserve"> 在</w:t>
      </w:r>
      <w:r>
        <w:rPr>
          <w:rFonts w:ascii="Times New Roman" w:hAnsi="Times New Roman" w:eastAsia="宋体" w:cs="Times New Roman"/>
          <w:color w:val="auto"/>
          <w:szCs w:val="24"/>
          <w:u w:val="single"/>
        </w:rPr>
        <w:t xml:space="preserve">   </w:t>
      </w:r>
      <w:r>
        <w:rPr>
          <w:rFonts w:ascii="Times New Roman" w:hAnsi="Times New Roman" w:eastAsia="宋体" w:cs="Times New Roman"/>
          <w:color w:val="auto"/>
          <w:szCs w:val="24"/>
        </w:rPr>
        <w:t>年</w:t>
      </w:r>
      <w:r>
        <w:rPr>
          <w:rFonts w:ascii="Times New Roman" w:hAnsi="Times New Roman" w:eastAsia="宋体" w:cs="Times New Roman"/>
          <w:color w:val="auto"/>
          <w:szCs w:val="24"/>
          <w:u w:val="single"/>
        </w:rPr>
        <w:t xml:space="preserve">  月  </w:t>
      </w:r>
      <w:r>
        <w:rPr>
          <w:rFonts w:ascii="Times New Roman" w:hAnsi="Times New Roman" w:eastAsia="宋体" w:cs="Times New Roman"/>
          <w:color w:val="auto"/>
          <w:szCs w:val="24"/>
        </w:rPr>
        <w:t xml:space="preserve"> 日至</w:t>
      </w:r>
      <w:r>
        <w:rPr>
          <w:rFonts w:ascii="Times New Roman" w:hAnsi="Times New Roman" w:eastAsia="宋体" w:cs="Times New Roman"/>
          <w:color w:val="auto"/>
          <w:szCs w:val="24"/>
          <w:u w:val="single"/>
        </w:rPr>
        <w:t xml:space="preserve">     </w:t>
      </w:r>
      <w:r>
        <w:rPr>
          <w:rFonts w:ascii="Times New Roman" w:hAnsi="Times New Roman" w:eastAsia="宋体" w:cs="Times New Roman"/>
          <w:color w:val="auto"/>
          <w:szCs w:val="24"/>
        </w:rPr>
        <w:t>年</w:t>
      </w:r>
      <w:r>
        <w:rPr>
          <w:rFonts w:ascii="Times New Roman" w:hAnsi="Times New Roman" w:eastAsia="宋体" w:cs="Times New Roman"/>
          <w:color w:val="auto"/>
          <w:szCs w:val="24"/>
          <w:u w:val="single"/>
        </w:rPr>
        <w:t xml:space="preserve">  </w:t>
      </w:r>
      <w:r>
        <w:rPr>
          <w:rFonts w:ascii="Times New Roman" w:hAnsi="Times New Roman" w:eastAsia="宋体" w:cs="Times New Roman"/>
          <w:color w:val="auto"/>
          <w:szCs w:val="24"/>
        </w:rPr>
        <w:t>月</w:t>
      </w:r>
      <w:r>
        <w:rPr>
          <w:rFonts w:ascii="Times New Roman" w:hAnsi="Times New Roman" w:eastAsia="宋体" w:cs="Times New Roman"/>
          <w:color w:val="auto"/>
          <w:szCs w:val="24"/>
          <w:u w:val="single"/>
        </w:rPr>
        <w:t xml:space="preserve">  </w:t>
      </w:r>
      <w:r>
        <w:rPr>
          <w:rFonts w:ascii="Times New Roman" w:hAnsi="Times New Roman" w:eastAsia="宋体" w:cs="Times New Roman"/>
          <w:color w:val="auto"/>
          <w:szCs w:val="24"/>
        </w:rPr>
        <w:t>日(代理时限)为我</w:t>
      </w:r>
      <w:r>
        <w:rPr>
          <w:rFonts w:ascii="Times New Roman" w:hAnsi="Times New Roman" w:eastAsia="宋体" w:cs="Times New Roman"/>
          <w:color w:val="auto"/>
          <w:spacing w:val="4"/>
          <w:szCs w:val="24"/>
        </w:rPr>
        <w:t>公司的代理人，以</w:t>
      </w:r>
      <w:r>
        <w:rPr>
          <w:rFonts w:ascii="Times New Roman" w:hAnsi="Times New Roman" w:eastAsia="宋体" w:cs="Times New Roman"/>
          <w:color w:val="auto"/>
          <w:spacing w:val="2"/>
          <w:szCs w:val="24"/>
        </w:rPr>
        <w:t>本公司的名义参加</w:t>
      </w:r>
      <w:r>
        <w:rPr>
          <w:rFonts w:ascii="Times New Roman" w:hAnsi="Times New Roman" w:eastAsia="宋体" w:cs="Times New Roman"/>
          <w:color w:val="auto"/>
          <w:spacing w:val="2"/>
          <w:szCs w:val="24"/>
          <w:u w:val="single"/>
        </w:rPr>
        <w:t xml:space="preserve">     (项目名称) </w:t>
      </w:r>
      <w:r>
        <w:rPr>
          <w:rFonts w:ascii="Times New Roman" w:hAnsi="Times New Roman" w:eastAsia="宋体" w:cs="Times New Roman"/>
          <w:color w:val="auto"/>
          <w:spacing w:val="2"/>
          <w:szCs w:val="24"/>
        </w:rPr>
        <w:t>的交易活动。代理人在代理时间内参加交易活动</w:t>
      </w:r>
      <w:r>
        <w:rPr>
          <w:rFonts w:ascii="Times New Roman" w:hAnsi="Times New Roman" w:eastAsia="宋体" w:cs="Times New Roman"/>
          <w:color w:val="auto"/>
          <w:spacing w:val="1"/>
          <w:szCs w:val="24"/>
        </w:rPr>
        <w:t>过程中所</w:t>
      </w:r>
      <w:r>
        <w:rPr>
          <w:rFonts w:ascii="Times New Roman" w:hAnsi="Times New Roman" w:eastAsia="宋体" w:cs="Times New Roman"/>
          <w:color w:val="auto"/>
          <w:szCs w:val="24"/>
        </w:rPr>
        <w:t>签署的一切文件和处理与之相关的一切事务，本人均予以承认</w:t>
      </w:r>
      <w:r>
        <w:rPr>
          <w:rFonts w:ascii="Times New Roman" w:hAnsi="Times New Roman" w:eastAsia="宋体" w:cs="Times New Roman"/>
          <w:color w:val="auto"/>
          <w:sz w:val="28"/>
          <w:szCs w:val="28"/>
        </w:rPr>
        <w:t>。</w:t>
      </w:r>
      <w:r>
        <w:rPr>
          <w:rFonts w:ascii="Times New Roman" w:hAnsi="Times New Roman" w:eastAsia="宋体" w:cs="Times New Roman"/>
          <w:color w:val="auto"/>
          <w:spacing w:val="-4"/>
          <w:szCs w:val="24"/>
        </w:rPr>
        <w:t>代理人</w:t>
      </w:r>
      <w:r>
        <w:rPr>
          <w:rFonts w:ascii="Times New Roman" w:hAnsi="Times New Roman" w:eastAsia="宋体" w:cs="Times New Roman"/>
          <w:color w:val="auto"/>
          <w:spacing w:val="-2"/>
          <w:szCs w:val="24"/>
        </w:rPr>
        <w:t>无权转委托。特此委托。</w:t>
      </w:r>
    </w:p>
    <w:p w14:paraId="6D927C19">
      <w:pPr>
        <w:kinsoku/>
        <w:topLinePunct/>
        <w:spacing w:before="207" w:line="216" w:lineRule="auto"/>
        <w:rPr>
          <w:rFonts w:ascii="Times New Roman" w:hAnsi="Times New Roman" w:eastAsia="宋体" w:cs="Times New Roman"/>
          <w:color w:val="auto"/>
          <w:spacing w:val="-2"/>
          <w:szCs w:val="24"/>
        </w:rPr>
      </w:pPr>
      <w:r>
        <w:rPr>
          <w:rFonts w:ascii="Times New Roman" w:hAnsi="Times New Roman" w:eastAsia="宋体" w:cs="Times New Roman"/>
          <w:color w:val="auto"/>
          <w:spacing w:val="-2"/>
          <w:szCs w:val="24"/>
        </w:rPr>
        <w:t>附</w:t>
      </w:r>
    </w:p>
    <w:p w14:paraId="38D5630E">
      <w:pPr>
        <w:kinsoku/>
        <w:topLinePunct/>
        <w:rPr>
          <w:rFonts w:ascii="Times New Roman" w:hAnsi="Times New Roman" w:cs="Times New Roman"/>
          <w:color w:val="auto"/>
        </w:rPr>
      </w:pPr>
    </w:p>
    <w:p w14:paraId="7B8D188E">
      <w:pPr>
        <w:kinsoku/>
        <w:topLinePunct/>
        <w:rPr>
          <w:rFonts w:ascii="Times New Roman" w:hAnsi="Times New Roman" w:cs="Times New Roman"/>
          <w:color w:val="auto"/>
        </w:rPr>
      </w:pPr>
    </w:p>
    <w:tbl>
      <w:tblPr>
        <w:tblStyle w:val="29"/>
        <w:tblpPr w:leftFromText="180" w:rightFromText="180" w:vertAnchor="text" w:horzAnchor="page" w:tblpX="2511" w:tblpY="-274"/>
        <w:tblOverlap w:val="never"/>
        <w:tblW w:w="668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83"/>
      </w:tblGrid>
      <w:tr w14:paraId="51AAE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2" w:hRule="atLeast"/>
        </w:trPr>
        <w:tc>
          <w:tcPr>
            <w:tcW w:w="6683" w:type="dxa"/>
            <w:tcBorders>
              <w:top w:val="single" w:color="000000" w:sz="2" w:space="0"/>
              <w:bottom w:val="single" w:color="000000" w:sz="2" w:space="0"/>
            </w:tcBorders>
          </w:tcPr>
          <w:p w14:paraId="6E7B4023">
            <w:pPr>
              <w:kinsoku/>
              <w:topLinePunct/>
              <w:spacing w:line="251" w:lineRule="auto"/>
              <w:rPr>
                <w:rFonts w:ascii="Times New Roman" w:hAnsi="Times New Roman" w:cs="Times New Roman"/>
                <w:color w:val="auto"/>
                <w:sz w:val="21"/>
              </w:rPr>
            </w:pPr>
          </w:p>
          <w:p w14:paraId="026FD8EF">
            <w:pPr>
              <w:kinsoku/>
              <w:topLinePunct/>
              <w:spacing w:line="251" w:lineRule="auto"/>
              <w:rPr>
                <w:rFonts w:ascii="Times New Roman" w:hAnsi="Times New Roman" w:cs="Times New Roman"/>
                <w:color w:val="auto"/>
                <w:sz w:val="21"/>
              </w:rPr>
            </w:pPr>
          </w:p>
          <w:p w14:paraId="50C1F0B3">
            <w:pPr>
              <w:kinsoku/>
              <w:topLinePunct/>
              <w:spacing w:line="253" w:lineRule="auto"/>
              <w:rPr>
                <w:rFonts w:ascii="Times New Roman" w:hAnsi="Times New Roman" w:cs="Times New Roman"/>
                <w:color w:val="auto"/>
                <w:sz w:val="21"/>
              </w:rPr>
            </w:pPr>
          </w:p>
          <w:p w14:paraId="357E6DCF">
            <w:pPr>
              <w:kinsoku/>
              <w:topLinePunct/>
              <w:spacing w:line="253" w:lineRule="auto"/>
              <w:rPr>
                <w:rFonts w:ascii="Times New Roman" w:hAnsi="Times New Roman" w:cs="Times New Roman"/>
                <w:color w:val="auto"/>
                <w:sz w:val="21"/>
              </w:rPr>
            </w:pPr>
          </w:p>
          <w:p w14:paraId="7D7288AC">
            <w:pPr>
              <w:kinsoku/>
              <w:topLinePunct/>
              <w:spacing w:before="78" w:line="199" w:lineRule="auto"/>
              <w:ind w:left="1437"/>
              <w:rPr>
                <w:rFonts w:ascii="Times New Roman" w:hAnsi="Times New Roman" w:eastAsia="宋体" w:cs="Times New Roman"/>
                <w:color w:val="auto"/>
                <w:szCs w:val="24"/>
              </w:rPr>
            </w:pPr>
            <w:r>
              <w:rPr>
                <w:rFonts w:ascii="Times New Roman" w:hAnsi="Times New Roman" w:eastAsia="宋体" w:cs="Times New Roman"/>
                <w:color w:val="auto"/>
                <w:spacing w:val="-1"/>
                <w:szCs w:val="24"/>
              </w:rPr>
              <w:t>代理</w:t>
            </w:r>
            <w:r>
              <w:rPr>
                <w:rFonts w:ascii="Times New Roman" w:hAnsi="Times New Roman" w:eastAsia="宋体" w:cs="Times New Roman"/>
                <w:color w:val="auto"/>
                <w:szCs w:val="24"/>
              </w:rPr>
              <w:t>人身份证正面复印件粘贴处</w:t>
            </w:r>
          </w:p>
          <w:p w14:paraId="75A61393">
            <w:pPr>
              <w:kinsoku/>
              <w:topLinePunct/>
              <w:spacing w:line="1198" w:lineRule="exact"/>
              <w:rPr>
                <w:rFonts w:ascii="Times New Roman" w:hAnsi="Times New Roman" w:cs="Times New Roman"/>
                <w:color w:val="auto"/>
                <w:sz w:val="170"/>
                <w:szCs w:val="170"/>
              </w:rPr>
            </w:pPr>
          </w:p>
        </w:tc>
      </w:tr>
      <w:tr w14:paraId="6CBE0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3" w:hRule="atLeast"/>
        </w:trPr>
        <w:tc>
          <w:tcPr>
            <w:tcW w:w="6683" w:type="dxa"/>
            <w:tcBorders>
              <w:top w:val="single" w:color="000000" w:sz="2" w:space="0"/>
              <w:bottom w:val="single" w:color="000000" w:sz="2" w:space="0"/>
            </w:tcBorders>
          </w:tcPr>
          <w:p w14:paraId="5CEC44F3">
            <w:pPr>
              <w:kinsoku/>
              <w:topLinePunct/>
              <w:spacing w:line="285" w:lineRule="auto"/>
              <w:rPr>
                <w:rFonts w:ascii="Times New Roman" w:hAnsi="Times New Roman" w:cs="Times New Roman"/>
                <w:color w:val="auto"/>
                <w:sz w:val="21"/>
              </w:rPr>
            </w:pPr>
          </w:p>
          <w:p w14:paraId="412A23DA">
            <w:pPr>
              <w:kinsoku/>
              <w:topLinePunct/>
              <w:spacing w:line="286" w:lineRule="auto"/>
              <w:rPr>
                <w:rFonts w:ascii="Times New Roman" w:hAnsi="Times New Roman" w:cs="Times New Roman"/>
                <w:color w:val="auto"/>
                <w:sz w:val="21"/>
              </w:rPr>
            </w:pPr>
          </w:p>
          <w:p w14:paraId="37310D85">
            <w:pPr>
              <w:kinsoku/>
              <w:topLinePunct/>
              <w:spacing w:line="286" w:lineRule="auto"/>
              <w:rPr>
                <w:rFonts w:ascii="Times New Roman" w:hAnsi="Times New Roman" w:cs="Times New Roman"/>
                <w:color w:val="auto"/>
                <w:sz w:val="21"/>
              </w:rPr>
            </w:pPr>
          </w:p>
          <w:p w14:paraId="79656B11">
            <w:pPr>
              <w:kinsoku/>
              <w:topLinePunct/>
              <w:spacing w:before="78" w:line="218" w:lineRule="auto"/>
              <w:ind w:left="1437"/>
              <w:rPr>
                <w:rFonts w:ascii="Times New Roman" w:hAnsi="Times New Roman" w:eastAsia="宋体" w:cs="Times New Roman"/>
                <w:color w:val="auto"/>
                <w:szCs w:val="24"/>
              </w:rPr>
            </w:pPr>
            <w:r>
              <w:rPr>
                <w:rFonts w:ascii="Times New Roman" w:hAnsi="Times New Roman" w:eastAsia="宋体" w:cs="Times New Roman"/>
                <w:color w:val="auto"/>
                <w:spacing w:val="-1"/>
                <w:szCs w:val="24"/>
              </w:rPr>
              <w:t>代理</w:t>
            </w:r>
            <w:r>
              <w:rPr>
                <w:rFonts w:ascii="Times New Roman" w:hAnsi="Times New Roman" w:eastAsia="宋体" w:cs="Times New Roman"/>
                <w:color w:val="auto"/>
                <w:szCs w:val="24"/>
              </w:rPr>
              <w:t>人身份证背面复印件粘贴处</w:t>
            </w:r>
          </w:p>
        </w:tc>
      </w:tr>
    </w:tbl>
    <w:p w14:paraId="5F886651">
      <w:pPr>
        <w:kinsoku/>
        <w:topLinePunct/>
        <w:rPr>
          <w:rFonts w:ascii="Times New Roman" w:hAnsi="Times New Roman" w:cs="Times New Roman"/>
          <w:color w:val="auto"/>
        </w:rPr>
      </w:pPr>
    </w:p>
    <w:p w14:paraId="55E9CFAF">
      <w:pPr>
        <w:kinsoku/>
        <w:topLinePunct/>
        <w:adjustRightInd/>
        <w:spacing w:line="257" w:lineRule="auto"/>
        <w:ind w:firstLine="640" w:firstLineChars="200"/>
        <w:rPr>
          <w:rFonts w:ascii="Times New Roman" w:hAnsi="Times New Roman" w:eastAsia="仿宋_GB2312" w:cs="Times New Roman"/>
          <w:color w:val="auto"/>
          <w:sz w:val="32"/>
          <w:szCs w:val="32"/>
        </w:rPr>
      </w:pPr>
    </w:p>
    <w:p w14:paraId="31F3B27D">
      <w:pPr>
        <w:kinsoku/>
        <w:topLinePunct/>
        <w:spacing w:before="48" w:line="364" w:lineRule="auto"/>
        <w:ind w:left="5280" w:leftChars="2200" w:right="191"/>
        <w:rPr>
          <w:rFonts w:ascii="Times New Roman" w:hAnsi="Times New Roman" w:eastAsia="宋体" w:cs="Times New Roman"/>
          <w:color w:val="auto"/>
          <w:spacing w:val="8"/>
          <w:szCs w:val="24"/>
        </w:rPr>
      </w:pPr>
    </w:p>
    <w:p w14:paraId="37BE94F8">
      <w:pPr>
        <w:kinsoku/>
        <w:topLinePunct/>
        <w:spacing w:before="48" w:line="364" w:lineRule="auto"/>
        <w:ind w:left="5280" w:leftChars="2200" w:right="191"/>
        <w:rPr>
          <w:rFonts w:ascii="Times New Roman" w:hAnsi="Times New Roman" w:eastAsia="宋体" w:cs="Times New Roman"/>
          <w:color w:val="auto"/>
          <w:spacing w:val="8"/>
          <w:szCs w:val="24"/>
        </w:rPr>
      </w:pPr>
    </w:p>
    <w:p w14:paraId="3EA1CF0D">
      <w:pPr>
        <w:kinsoku/>
        <w:topLinePunct/>
        <w:spacing w:before="48" w:line="364" w:lineRule="auto"/>
        <w:ind w:left="5280" w:leftChars="2200" w:right="191"/>
        <w:rPr>
          <w:rFonts w:ascii="Times New Roman" w:hAnsi="Times New Roman" w:eastAsia="宋体" w:cs="Times New Roman"/>
          <w:color w:val="auto"/>
          <w:spacing w:val="8"/>
          <w:szCs w:val="24"/>
        </w:rPr>
      </w:pPr>
    </w:p>
    <w:p w14:paraId="7DB48EDC">
      <w:pPr>
        <w:kinsoku/>
        <w:topLinePunct/>
        <w:spacing w:before="48" w:line="364" w:lineRule="auto"/>
        <w:ind w:right="191"/>
        <w:rPr>
          <w:rFonts w:ascii="Times New Roman" w:hAnsi="Times New Roman" w:eastAsia="宋体" w:cs="Times New Roman"/>
          <w:color w:val="auto"/>
          <w:spacing w:val="8"/>
          <w:szCs w:val="24"/>
        </w:rPr>
      </w:pPr>
    </w:p>
    <w:p w14:paraId="146D23C3">
      <w:pPr>
        <w:kinsoku/>
        <w:topLinePunct/>
        <w:spacing w:before="48" w:line="364" w:lineRule="auto"/>
        <w:ind w:left="5280" w:leftChars="2200" w:right="191"/>
        <w:rPr>
          <w:rFonts w:ascii="Times New Roman" w:hAnsi="Times New Roman" w:eastAsia="宋体" w:cs="Times New Roman"/>
          <w:color w:val="auto"/>
          <w:spacing w:val="8"/>
          <w:szCs w:val="24"/>
        </w:rPr>
      </w:pPr>
    </w:p>
    <w:p w14:paraId="4046E01E">
      <w:pPr>
        <w:kinsoku/>
        <w:topLinePunct/>
        <w:spacing w:before="48" w:line="364" w:lineRule="auto"/>
        <w:ind w:left="5280" w:leftChars="2200" w:right="191"/>
        <w:rPr>
          <w:rFonts w:ascii="Times New Roman" w:hAnsi="Times New Roman" w:eastAsia="宋体" w:cs="Times New Roman"/>
          <w:color w:val="auto"/>
          <w:spacing w:val="8"/>
          <w:szCs w:val="24"/>
        </w:rPr>
      </w:pPr>
    </w:p>
    <w:p w14:paraId="60ADB35A">
      <w:pPr>
        <w:kinsoku/>
        <w:topLinePunct/>
        <w:spacing w:before="48" w:line="364" w:lineRule="auto"/>
        <w:ind w:left="5280" w:leftChars="2200" w:right="191"/>
        <w:rPr>
          <w:rFonts w:ascii="Times New Roman" w:hAnsi="Times New Roman" w:eastAsia="宋体" w:cs="Times New Roman"/>
          <w:color w:val="auto"/>
          <w:spacing w:val="8"/>
          <w:szCs w:val="24"/>
        </w:rPr>
      </w:pPr>
    </w:p>
    <w:p w14:paraId="201F4297">
      <w:pPr>
        <w:kinsoku/>
        <w:topLinePunct/>
        <w:spacing w:before="48" w:line="364" w:lineRule="auto"/>
        <w:ind w:left="5280" w:leftChars="2200" w:right="191"/>
        <w:rPr>
          <w:rFonts w:ascii="Times New Roman" w:hAnsi="Times New Roman" w:eastAsia="宋体" w:cs="Times New Roman"/>
          <w:color w:val="auto"/>
          <w:spacing w:val="8"/>
          <w:szCs w:val="24"/>
        </w:rPr>
      </w:pPr>
    </w:p>
    <w:p w14:paraId="65D68F80">
      <w:pPr>
        <w:kinsoku/>
        <w:topLinePunct/>
        <w:spacing w:before="48" w:line="364" w:lineRule="auto"/>
        <w:ind w:left="5280" w:leftChars="2200" w:right="191"/>
        <w:rPr>
          <w:rFonts w:ascii="Times New Roman" w:hAnsi="Times New Roman" w:eastAsia="宋体" w:cs="Times New Roman"/>
          <w:color w:val="auto"/>
          <w:szCs w:val="24"/>
        </w:rPr>
      </w:pPr>
    </w:p>
    <w:p w14:paraId="29EACE61">
      <w:pPr>
        <w:kinsoku/>
        <w:topLinePunct/>
        <w:spacing w:before="48" w:line="364" w:lineRule="auto"/>
        <w:ind w:left="5280" w:leftChars="2200" w:right="191"/>
        <w:rPr>
          <w:rFonts w:ascii="Times New Roman" w:hAnsi="Times New Roman" w:eastAsia="宋体" w:cs="Times New Roman"/>
          <w:color w:val="auto"/>
          <w:szCs w:val="24"/>
        </w:rPr>
      </w:pPr>
    </w:p>
    <w:p w14:paraId="34990B29">
      <w:pPr>
        <w:kinsoku/>
        <w:topLinePunct/>
        <w:spacing w:before="48" w:line="364" w:lineRule="auto"/>
        <w:ind w:left="5280" w:leftChars="2200" w:right="191"/>
        <w:rPr>
          <w:rFonts w:ascii="Times New Roman" w:hAnsi="Times New Roman" w:eastAsia="宋体" w:cs="Times New Roman"/>
          <w:color w:val="auto"/>
          <w:spacing w:val="5"/>
          <w:szCs w:val="24"/>
        </w:rPr>
      </w:pPr>
      <w:r>
        <w:rPr>
          <w:rFonts w:ascii="Times New Roman" w:hAnsi="Times New Roman" w:eastAsia="宋体" w:cs="Times New Roman"/>
          <w:color w:val="auto"/>
          <w:szCs w:val="24"/>
        </w:rPr>
        <w:t>潜在承包人</w:t>
      </w:r>
      <w:r>
        <w:rPr>
          <w:rFonts w:ascii="Times New Roman" w:hAnsi="Times New Roman" w:cs="Times New Roman"/>
          <w:color w:val="auto"/>
        </w:rPr>
        <w:t>名称(电子签名)</w:t>
      </w:r>
      <w:r>
        <w:rPr>
          <w:rFonts w:ascii="Times New Roman" w:hAnsi="Times New Roman" w:eastAsia="宋体" w:cs="Times New Roman"/>
          <w:color w:val="auto"/>
          <w:spacing w:val="5"/>
          <w:szCs w:val="24"/>
        </w:rPr>
        <w:t>：</w:t>
      </w:r>
    </w:p>
    <w:p w14:paraId="4E187DFD">
      <w:pPr>
        <w:kinsoku/>
        <w:topLinePunct/>
        <w:spacing w:before="48" w:line="364" w:lineRule="auto"/>
        <w:ind w:left="5280" w:leftChars="2200" w:right="191"/>
        <w:rPr>
          <w:rFonts w:ascii="Times New Roman" w:hAnsi="Times New Roman" w:eastAsia="宋体" w:cs="Times New Roman"/>
          <w:color w:val="auto"/>
          <w:szCs w:val="24"/>
        </w:rPr>
      </w:pPr>
      <w:r>
        <w:rPr>
          <w:rFonts w:ascii="Times New Roman" w:hAnsi="Times New Roman" w:eastAsia="宋体" w:cs="Times New Roman"/>
          <w:color w:val="auto"/>
          <w:spacing w:val="6"/>
          <w:szCs w:val="24"/>
        </w:rPr>
        <w:t>法定代表人</w:t>
      </w:r>
      <w:r>
        <w:rPr>
          <w:rFonts w:ascii="Times New Roman" w:hAnsi="Times New Roman" w:cs="Times New Roman"/>
          <w:color w:val="auto"/>
        </w:rPr>
        <w:t>(电子签名)</w:t>
      </w:r>
      <w:r>
        <w:rPr>
          <w:rFonts w:ascii="Times New Roman" w:hAnsi="Times New Roman" w:eastAsia="宋体" w:cs="Times New Roman"/>
          <w:color w:val="auto"/>
          <w:spacing w:val="6"/>
          <w:szCs w:val="24"/>
        </w:rPr>
        <w:t>：</w:t>
      </w:r>
    </w:p>
    <w:p w14:paraId="1FF108D5">
      <w:pPr>
        <w:kinsoku/>
        <w:topLinePunct/>
        <w:spacing w:before="48" w:line="364" w:lineRule="auto"/>
        <w:ind w:left="5280" w:leftChars="2200" w:right="191"/>
        <w:rPr>
          <w:rFonts w:ascii="Times New Roman" w:hAnsi="Times New Roman" w:eastAsia="宋体" w:cs="Times New Roman"/>
          <w:color w:val="auto"/>
          <w:spacing w:val="-3"/>
          <w:szCs w:val="24"/>
        </w:rPr>
      </w:pPr>
      <w:r>
        <w:rPr>
          <w:rFonts w:ascii="Times New Roman" w:hAnsi="Times New Roman" w:eastAsia="宋体" w:cs="Times New Roman"/>
          <w:color w:val="auto"/>
          <w:spacing w:val="-6"/>
          <w:szCs w:val="24"/>
        </w:rPr>
        <w:t>日</w:t>
      </w:r>
      <w:r>
        <w:rPr>
          <w:rFonts w:ascii="Times New Roman" w:hAnsi="Times New Roman" w:eastAsia="宋体" w:cs="Times New Roman"/>
          <w:color w:val="auto"/>
          <w:spacing w:val="-4"/>
          <w:szCs w:val="24"/>
        </w:rPr>
        <w:t>期</w:t>
      </w:r>
      <w:r>
        <w:rPr>
          <w:rFonts w:ascii="Times New Roman" w:hAnsi="Times New Roman" w:eastAsia="宋体" w:cs="Times New Roman"/>
          <w:color w:val="auto"/>
          <w:spacing w:val="-3"/>
          <w:szCs w:val="24"/>
        </w:rPr>
        <w:t>：　年　　月　　日</w:t>
      </w:r>
    </w:p>
    <w:p w14:paraId="4E303532">
      <w:pPr>
        <w:kinsoku/>
        <w:topLinePunct/>
        <w:rPr>
          <w:rFonts w:ascii="Times New Roman" w:hAnsi="Times New Roman" w:cs="Times New Roman"/>
          <w:color w:val="auto"/>
        </w:rPr>
      </w:pPr>
    </w:p>
    <w:p w14:paraId="07E3AF49">
      <w:pPr>
        <w:kinsoku/>
        <w:topLinePunct/>
        <w:rPr>
          <w:rFonts w:ascii="Times New Roman" w:hAnsi="Times New Roman" w:cs="Times New Roman"/>
          <w:color w:val="auto"/>
        </w:rPr>
      </w:pPr>
    </w:p>
    <w:p w14:paraId="7EA8D85D">
      <w:pPr>
        <w:kinsoku/>
        <w:topLinePunct/>
        <w:rPr>
          <w:rFonts w:ascii="Times New Roman" w:hAnsi="Times New Roman" w:cs="Times New Roman"/>
          <w:color w:val="auto"/>
        </w:rPr>
      </w:pPr>
    </w:p>
    <w:p w14:paraId="0E2DAC97">
      <w:pPr>
        <w:kinsoku/>
        <w:topLinePunct/>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br w:type="page"/>
      </w:r>
    </w:p>
    <w:p w14:paraId="23DB6FA6">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企业基本情况表</w:t>
      </w:r>
    </w:p>
    <w:p w14:paraId="5E0A3BF0">
      <w:pPr>
        <w:spacing w:before="57"/>
        <w:rPr>
          <w:rFonts w:ascii="Times New Roman" w:hAnsi="Times New Roman" w:cs="Times New Roman"/>
          <w:color w:val="auto"/>
        </w:rPr>
      </w:pPr>
    </w:p>
    <w:tbl>
      <w:tblPr>
        <w:tblStyle w:val="29"/>
        <w:tblW w:w="903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3"/>
        <w:gridCol w:w="2157"/>
        <w:gridCol w:w="1099"/>
        <w:gridCol w:w="1348"/>
        <w:gridCol w:w="160"/>
        <w:gridCol w:w="1009"/>
        <w:gridCol w:w="1503"/>
      </w:tblGrid>
      <w:tr w14:paraId="60AF4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763" w:type="dxa"/>
          </w:tcPr>
          <w:p w14:paraId="22BE0681">
            <w:pPr>
              <w:pStyle w:val="39"/>
              <w:spacing w:before="255" w:line="220" w:lineRule="auto"/>
              <w:ind w:left="275"/>
              <w:rPr>
                <w:rFonts w:ascii="Times New Roman" w:hAnsi="Times New Roman" w:cs="Times New Roman"/>
                <w:color w:val="auto"/>
                <w:sz w:val="24"/>
                <w:szCs w:val="24"/>
              </w:rPr>
            </w:pPr>
            <w:r>
              <w:rPr>
                <w:rFonts w:ascii="Times New Roman" w:hAnsi="Times New Roman" w:cs="Times New Roman"/>
                <w:color w:val="auto"/>
                <w:spacing w:val="2"/>
                <w:sz w:val="24"/>
                <w:szCs w:val="24"/>
                <w:lang w:eastAsia="zh-CN"/>
              </w:rPr>
              <w:t>企业</w:t>
            </w:r>
            <w:r>
              <w:rPr>
                <w:rFonts w:ascii="Times New Roman" w:hAnsi="Times New Roman" w:cs="Times New Roman"/>
                <w:color w:val="auto"/>
                <w:spacing w:val="2"/>
                <w:sz w:val="24"/>
                <w:szCs w:val="24"/>
              </w:rPr>
              <w:t>名称</w:t>
            </w:r>
          </w:p>
        </w:tc>
        <w:tc>
          <w:tcPr>
            <w:tcW w:w="7276" w:type="dxa"/>
            <w:gridSpan w:val="6"/>
          </w:tcPr>
          <w:p w14:paraId="1C4B0B12">
            <w:pPr>
              <w:rPr>
                <w:rFonts w:ascii="Times New Roman" w:hAnsi="Times New Roman" w:cs="Times New Roman"/>
                <w:color w:val="auto"/>
                <w:sz w:val="21"/>
              </w:rPr>
            </w:pPr>
          </w:p>
        </w:tc>
      </w:tr>
      <w:tr w14:paraId="73B37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63" w:type="dxa"/>
          </w:tcPr>
          <w:p w14:paraId="2BBA3E03">
            <w:pPr>
              <w:pStyle w:val="39"/>
              <w:spacing w:before="254" w:line="221" w:lineRule="auto"/>
              <w:ind w:left="514"/>
              <w:rPr>
                <w:rFonts w:ascii="Times New Roman" w:hAnsi="Times New Roman" w:cs="Times New Roman"/>
                <w:color w:val="auto"/>
                <w:sz w:val="24"/>
                <w:szCs w:val="24"/>
              </w:rPr>
            </w:pPr>
            <w:r>
              <w:rPr>
                <w:rFonts w:ascii="Times New Roman" w:hAnsi="Times New Roman" w:cs="Times New Roman"/>
                <w:color w:val="auto"/>
                <w:spacing w:val="3"/>
                <w:sz w:val="24"/>
                <w:szCs w:val="24"/>
              </w:rPr>
              <w:t>联系人</w:t>
            </w:r>
          </w:p>
        </w:tc>
        <w:tc>
          <w:tcPr>
            <w:tcW w:w="3256" w:type="dxa"/>
            <w:gridSpan w:val="2"/>
          </w:tcPr>
          <w:p w14:paraId="12CBD29A">
            <w:pPr>
              <w:rPr>
                <w:rFonts w:ascii="Times New Roman" w:hAnsi="Times New Roman" w:cs="Times New Roman"/>
                <w:color w:val="auto"/>
                <w:sz w:val="21"/>
              </w:rPr>
            </w:pPr>
          </w:p>
        </w:tc>
        <w:tc>
          <w:tcPr>
            <w:tcW w:w="1348" w:type="dxa"/>
          </w:tcPr>
          <w:p w14:paraId="17EAA5F7">
            <w:pPr>
              <w:pStyle w:val="39"/>
              <w:spacing w:before="254" w:line="221" w:lineRule="auto"/>
              <w:ind w:left="426"/>
              <w:rPr>
                <w:rFonts w:ascii="Times New Roman" w:hAnsi="Times New Roman" w:cs="Times New Roman"/>
                <w:color w:val="auto"/>
                <w:sz w:val="24"/>
                <w:szCs w:val="24"/>
              </w:rPr>
            </w:pPr>
            <w:r>
              <w:rPr>
                <w:rFonts w:ascii="Times New Roman" w:hAnsi="Times New Roman" w:cs="Times New Roman"/>
                <w:color w:val="auto"/>
                <w:spacing w:val="4"/>
                <w:sz w:val="24"/>
                <w:szCs w:val="24"/>
              </w:rPr>
              <w:t>电话</w:t>
            </w:r>
          </w:p>
        </w:tc>
        <w:tc>
          <w:tcPr>
            <w:tcW w:w="2672" w:type="dxa"/>
            <w:gridSpan w:val="3"/>
          </w:tcPr>
          <w:p w14:paraId="37F108F9">
            <w:pPr>
              <w:rPr>
                <w:rFonts w:ascii="Times New Roman" w:hAnsi="Times New Roman" w:cs="Times New Roman"/>
                <w:color w:val="auto"/>
                <w:sz w:val="21"/>
              </w:rPr>
            </w:pPr>
          </w:p>
        </w:tc>
      </w:tr>
      <w:tr w14:paraId="30A5E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63" w:type="dxa"/>
          </w:tcPr>
          <w:p w14:paraId="172974CA">
            <w:pPr>
              <w:pStyle w:val="39"/>
              <w:spacing w:before="253" w:line="221" w:lineRule="auto"/>
              <w:ind w:left="394"/>
              <w:rPr>
                <w:rFonts w:ascii="Times New Roman" w:hAnsi="Times New Roman" w:cs="Times New Roman"/>
                <w:color w:val="auto"/>
                <w:sz w:val="24"/>
                <w:szCs w:val="24"/>
              </w:rPr>
            </w:pPr>
            <w:r>
              <w:rPr>
                <w:rFonts w:ascii="Times New Roman" w:hAnsi="Times New Roman" w:cs="Times New Roman"/>
                <w:color w:val="auto"/>
                <w:spacing w:val="2"/>
                <w:sz w:val="24"/>
                <w:szCs w:val="24"/>
              </w:rPr>
              <w:t>注册地址</w:t>
            </w:r>
          </w:p>
        </w:tc>
        <w:tc>
          <w:tcPr>
            <w:tcW w:w="3256" w:type="dxa"/>
            <w:gridSpan w:val="2"/>
          </w:tcPr>
          <w:p w14:paraId="2BDA4252">
            <w:pPr>
              <w:rPr>
                <w:rFonts w:ascii="Times New Roman" w:hAnsi="Times New Roman" w:cs="Times New Roman"/>
                <w:color w:val="auto"/>
                <w:sz w:val="21"/>
              </w:rPr>
            </w:pPr>
          </w:p>
        </w:tc>
        <w:tc>
          <w:tcPr>
            <w:tcW w:w="1348" w:type="dxa"/>
          </w:tcPr>
          <w:p w14:paraId="254E2CBE">
            <w:pPr>
              <w:pStyle w:val="39"/>
              <w:spacing w:before="252" w:line="219" w:lineRule="auto"/>
              <w:ind w:left="186"/>
              <w:rPr>
                <w:rFonts w:ascii="Times New Roman" w:hAnsi="Times New Roman" w:cs="Times New Roman"/>
                <w:color w:val="auto"/>
                <w:sz w:val="24"/>
                <w:szCs w:val="24"/>
              </w:rPr>
            </w:pPr>
            <w:r>
              <w:rPr>
                <w:rFonts w:ascii="Times New Roman" w:hAnsi="Times New Roman" w:cs="Times New Roman"/>
                <w:color w:val="auto"/>
                <w:spacing w:val="3"/>
                <w:sz w:val="24"/>
                <w:szCs w:val="24"/>
              </w:rPr>
              <w:t>邮政编码</w:t>
            </w:r>
          </w:p>
        </w:tc>
        <w:tc>
          <w:tcPr>
            <w:tcW w:w="2672" w:type="dxa"/>
            <w:gridSpan w:val="3"/>
          </w:tcPr>
          <w:p w14:paraId="01F58AC4">
            <w:pPr>
              <w:rPr>
                <w:rFonts w:ascii="Times New Roman" w:hAnsi="Times New Roman" w:cs="Times New Roman"/>
                <w:color w:val="auto"/>
                <w:sz w:val="21"/>
              </w:rPr>
            </w:pPr>
          </w:p>
        </w:tc>
      </w:tr>
      <w:tr w14:paraId="6628F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763" w:type="dxa"/>
            <w:vMerge w:val="restart"/>
            <w:tcBorders>
              <w:bottom w:val="nil"/>
            </w:tcBorders>
          </w:tcPr>
          <w:p w14:paraId="696C8C98">
            <w:pPr>
              <w:spacing w:line="272" w:lineRule="auto"/>
              <w:rPr>
                <w:rFonts w:ascii="Times New Roman" w:hAnsi="Times New Roman" w:cs="Times New Roman"/>
                <w:color w:val="auto"/>
                <w:sz w:val="21"/>
              </w:rPr>
            </w:pPr>
          </w:p>
          <w:p w14:paraId="7A8CD821">
            <w:pPr>
              <w:spacing w:line="272" w:lineRule="auto"/>
              <w:rPr>
                <w:rFonts w:ascii="Times New Roman" w:hAnsi="Times New Roman" w:cs="Times New Roman"/>
                <w:color w:val="auto"/>
                <w:sz w:val="21"/>
              </w:rPr>
            </w:pPr>
          </w:p>
          <w:p w14:paraId="517C3218">
            <w:pPr>
              <w:spacing w:line="272" w:lineRule="auto"/>
              <w:rPr>
                <w:rFonts w:ascii="Times New Roman" w:hAnsi="Times New Roman" w:cs="Times New Roman"/>
                <w:color w:val="auto"/>
                <w:sz w:val="21"/>
              </w:rPr>
            </w:pPr>
          </w:p>
          <w:p w14:paraId="19377ADC">
            <w:pPr>
              <w:spacing w:line="272" w:lineRule="auto"/>
              <w:rPr>
                <w:rFonts w:ascii="Times New Roman" w:hAnsi="Times New Roman" w:cs="Times New Roman"/>
                <w:color w:val="auto"/>
                <w:sz w:val="21"/>
              </w:rPr>
            </w:pPr>
          </w:p>
          <w:p w14:paraId="7DFB67CF">
            <w:pPr>
              <w:pStyle w:val="39"/>
              <w:spacing w:before="78" w:line="225" w:lineRule="auto"/>
              <w:ind w:left="333" w:right="89" w:hanging="239"/>
              <w:jc w:val="center"/>
              <w:rPr>
                <w:rFonts w:ascii="Times New Roman" w:hAnsi="Times New Roman" w:cs="Times New Roman"/>
                <w:color w:val="auto"/>
                <w:spacing w:val="1"/>
                <w:sz w:val="24"/>
                <w:szCs w:val="24"/>
                <w:lang w:eastAsia="zh-CN"/>
              </w:rPr>
            </w:pPr>
            <w:r>
              <w:rPr>
                <w:rFonts w:ascii="Times New Roman" w:hAnsi="Times New Roman" w:cs="Times New Roman"/>
                <w:color w:val="auto"/>
                <w:spacing w:val="1"/>
                <w:sz w:val="24"/>
                <w:szCs w:val="24"/>
                <w:lang w:eastAsia="zh-CN"/>
              </w:rPr>
              <w:t>有关责任人</w:t>
            </w:r>
          </w:p>
          <w:p w14:paraId="0F99E130">
            <w:pPr>
              <w:pStyle w:val="39"/>
              <w:spacing w:before="78" w:line="225" w:lineRule="auto"/>
              <w:ind w:left="333" w:right="89" w:hanging="239"/>
              <w:rPr>
                <w:rFonts w:ascii="Times New Roman" w:hAnsi="Times New Roman" w:cs="Times New Roman"/>
                <w:color w:val="auto"/>
                <w:sz w:val="24"/>
                <w:szCs w:val="24"/>
                <w:lang w:eastAsia="zh-CN"/>
              </w:rPr>
            </w:pPr>
            <w:r>
              <w:rPr>
                <w:rFonts w:ascii="Times New Roman" w:hAnsi="Times New Roman" w:cs="Times New Roman"/>
                <w:color w:val="auto"/>
                <w:spacing w:val="1"/>
                <w:sz w:val="24"/>
                <w:szCs w:val="24"/>
                <w:lang w:eastAsia="zh-CN"/>
              </w:rPr>
              <w:t>(法</w:t>
            </w:r>
            <w:r>
              <w:rPr>
                <w:rFonts w:ascii="Times New Roman" w:hAnsi="Times New Roman" w:cs="Times New Roman"/>
                <w:color w:val="auto"/>
                <w:spacing w:val="10"/>
                <w:sz w:val="24"/>
                <w:szCs w:val="24"/>
                <w:lang w:eastAsia="zh-CN"/>
              </w:rPr>
              <w:t>律责任人)</w:t>
            </w:r>
          </w:p>
        </w:tc>
        <w:tc>
          <w:tcPr>
            <w:tcW w:w="2157" w:type="dxa"/>
          </w:tcPr>
          <w:p w14:paraId="5C1492AF">
            <w:pPr>
              <w:pStyle w:val="39"/>
              <w:spacing w:before="144" w:line="217" w:lineRule="auto"/>
              <w:ind w:left="240" w:leftChars="100"/>
              <w:jc w:val="center"/>
              <w:rPr>
                <w:rFonts w:ascii="Times New Roman" w:hAnsi="Times New Roman" w:cs="Times New Roman"/>
                <w:color w:val="auto"/>
                <w:spacing w:val="-3"/>
                <w:sz w:val="24"/>
                <w:szCs w:val="24"/>
                <w:lang w:eastAsia="zh-CN"/>
              </w:rPr>
            </w:pPr>
            <w:r>
              <w:rPr>
                <w:rFonts w:ascii="Times New Roman" w:hAnsi="Times New Roman" w:cs="Times New Roman"/>
                <w:color w:val="auto"/>
                <w:spacing w:val="-3"/>
                <w:sz w:val="24"/>
                <w:szCs w:val="24"/>
                <w:lang w:eastAsia="zh-CN"/>
              </w:rPr>
              <w:t>直接责任人员为本次响应委托授权代表</w:t>
            </w:r>
          </w:p>
        </w:tc>
        <w:tc>
          <w:tcPr>
            <w:tcW w:w="1099" w:type="dxa"/>
          </w:tcPr>
          <w:p w14:paraId="6496C606">
            <w:pPr>
              <w:rPr>
                <w:rFonts w:ascii="Times New Roman" w:hAnsi="Times New Roman" w:cs="Times New Roman"/>
                <w:color w:val="auto"/>
                <w:sz w:val="21"/>
              </w:rPr>
            </w:pPr>
          </w:p>
        </w:tc>
        <w:tc>
          <w:tcPr>
            <w:tcW w:w="1348" w:type="dxa"/>
          </w:tcPr>
          <w:p w14:paraId="1FA61C48">
            <w:pPr>
              <w:pStyle w:val="39"/>
              <w:spacing w:before="256" w:line="221" w:lineRule="auto"/>
              <w:ind w:left="426"/>
              <w:rPr>
                <w:rFonts w:ascii="Times New Roman" w:hAnsi="Times New Roman" w:cs="Times New Roman"/>
                <w:color w:val="auto"/>
                <w:sz w:val="24"/>
                <w:szCs w:val="24"/>
              </w:rPr>
            </w:pPr>
            <w:r>
              <w:rPr>
                <w:rFonts w:ascii="Times New Roman" w:hAnsi="Times New Roman" w:cs="Times New Roman"/>
                <w:color w:val="auto"/>
                <w:spacing w:val="4"/>
                <w:sz w:val="24"/>
                <w:szCs w:val="24"/>
              </w:rPr>
              <w:t>电话</w:t>
            </w:r>
          </w:p>
        </w:tc>
        <w:tc>
          <w:tcPr>
            <w:tcW w:w="2672" w:type="dxa"/>
            <w:gridSpan w:val="3"/>
          </w:tcPr>
          <w:p w14:paraId="38468605">
            <w:pPr>
              <w:rPr>
                <w:rFonts w:ascii="Times New Roman" w:hAnsi="Times New Roman" w:cs="Times New Roman"/>
                <w:color w:val="auto"/>
                <w:sz w:val="21"/>
              </w:rPr>
            </w:pPr>
          </w:p>
        </w:tc>
      </w:tr>
      <w:tr w14:paraId="675A2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763" w:type="dxa"/>
            <w:vMerge w:val="continue"/>
            <w:tcBorders>
              <w:top w:val="nil"/>
              <w:bottom w:val="nil"/>
            </w:tcBorders>
          </w:tcPr>
          <w:p w14:paraId="67E86804">
            <w:pPr>
              <w:rPr>
                <w:rFonts w:ascii="Times New Roman" w:hAnsi="Times New Roman" w:cs="Times New Roman"/>
                <w:color w:val="auto"/>
                <w:sz w:val="21"/>
              </w:rPr>
            </w:pPr>
          </w:p>
        </w:tc>
        <w:tc>
          <w:tcPr>
            <w:tcW w:w="2157" w:type="dxa"/>
          </w:tcPr>
          <w:p w14:paraId="5C4AD620">
            <w:pPr>
              <w:pStyle w:val="39"/>
              <w:spacing w:before="144" w:line="217" w:lineRule="auto"/>
              <w:ind w:left="240" w:leftChars="100"/>
              <w:jc w:val="center"/>
              <w:rPr>
                <w:rFonts w:ascii="Times New Roman" w:hAnsi="Times New Roman" w:cs="Times New Roman"/>
                <w:color w:val="auto"/>
                <w:spacing w:val="-3"/>
                <w:sz w:val="24"/>
                <w:szCs w:val="24"/>
              </w:rPr>
            </w:pPr>
            <w:r>
              <w:rPr>
                <w:rFonts w:ascii="Times New Roman" w:hAnsi="Times New Roman" w:cs="Times New Roman"/>
                <w:color w:val="auto"/>
                <w:spacing w:val="-3"/>
                <w:sz w:val="24"/>
                <w:szCs w:val="24"/>
              </w:rPr>
              <w:t>身份证号</w:t>
            </w:r>
          </w:p>
        </w:tc>
        <w:tc>
          <w:tcPr>
            <w:tcW w:w="1099" w:type="dxa"/>
          </w:tcPr>
          <w:p w14:paraId="27E552CC">
            <w:pPr>
              <w:rPr>
                <w:rFonts w:ascii="Times New Roman" w:hAnsi="Times New Roman" w:cs="Times New Roman"/>
                <w:color w:val="auto"/>
                <w:sz w:val="21"/>
              </w:rPr>
            </w:pPr>
          </w:p>
        </w:tc>
        <w:tc>
          <w:tcPr>
            <w:tcW w:w="1348" w:type="dxa"/>
          </w:tcPr>
          <w:p w14:paraId="3D7C16B1">
            <w:pPr>
              <w:pStyle w:val="39"/>
              <w:spacing w:before="254" w:line="221" w:lineRule="auto"/>
              <w:ind w:left="426"/>
              <w:rPr>
                <w:rFonts w:ascii="Times New Roman" w:hAnsi="Times New Roman" w:cs="Times New Roman"/>
                <w:color w:val="auto"/>
                <w:sz w:val="24"/>
                <w:szCs w:val="24"/>
              </w:rPr>
            </w:pPr>
            <w:r>
              <w:rPr>
                <w:rFonts w:ascii="Times New Roman" w:hAnsi="Times New Roman" w:cs="Times New Roman"/>
                <w:color w:val="auto"/>
                <w:spacing w:val="-3"/>
                <w:sz w:val="24"/>
                <w:szCs w:val="24"/>
              </w:rPr>
              <w:t>住址</w:t>
            </w:r>
          </w:p>
        </w:tc>
        <w:tc>
          <w:tcPr>
            <w:tcW w:w="2672" w:type="dxa"/>
            <w:gridSpan w:val="3"/>
          </w:tcPr>
          <w:p w14:paraId="49919323">
            <w:pPr>
              <w:rPr>
                <w:rFonts w:ascii="Times New Roman" w:hAnsi="Times New Roman" w:cs="Times New Roman"/>
                <w:color w:val="auto"/>
                <w:sz w:val="21"/>
              </w:rPr>
            </w:pPr>
          </w:p>
        </w:tc>
      </w:tr>
      <w:tr w14:paraId="402C5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763" w:type="dxa"/>
            <w:vMerge w:val="continue"/>
            <w:tcBorders>
              <w:top w:val="nil"/>
              <w:bottom w:val="nil"/>
            </w:tcBorders>
          </w:tcPr>
          <w:p w14:paraId="1B69CF21">
            <w:pPr>
              <w:rPr>
                <w:rFonts w:ascii="Times New Roman" w:hAnsi="Times New Roman" w:cs="Times New Roman"/>
                <w:color w:val="auto"/>
                <w:sz w:val="21"/>
              </w:rPr>
            </w:pPr>
          </w:p>
        </w:tc>
        <w:tc>
          <w:tcPr>
            <w:tcW w:w="2157" w:type="dxa"/>
          </w:tcPr>
          <w:p w14:paraId="4D51E3B8">
            <w:pPr>
              <w:pStyle w:val="39"/>
              <w:spacing w:before="144" w:line="217" w:lineRule="auto"/>
              <w:ind w:left="240" w:leftChars="100"/>
              <w:jc w:val="center"/>
              <w:rPr>
                <w:rFonts w:ascii="Times New Roman" w:hAnsi="Times New Roman" w:cs="Times New Roman"/>
                <w:color w:val="auto"/>
                <w:spacing w:val="-3"/>
                <w:sz w:val="24"/>
                <w:szCs w:val="24"/>
                <w:lang w:eastAsia="zh-CN"/>
              </w:rPr>
            </w:pPr>
            <w:r>
              <w:rPr>
                <w:rFonts w:ascii="Times New Roman" w:hAnsi="Times New Roman" w:cs="Times New Roman"/>
                <w:color w:val="auto"/>
                <w:spacing w:val="-3"/>
                <w:sz w:val="24"/>
                <w:szCs w:val="24"/>
                <w:lang w:eastAsia="zh-CN"/>
              </w:rPr>
              <w:t>主管人员为法定代表人</w:t>
            </w:r>
          </w:p>
        </w:tc>
        <w:tc>
          <w:tcPr>
            <w:tcW w:w="1099" w:type="dxa"/>
          </w:tcPr>
          <w:p w14:paraId="5B68BFF4">
            <w:pPr>
              <w:rPr>
                <w:rFonts w:ascii="Times New Roman" w:hAnsi="Times New Roman" w:cs="Times New Roman"/>
                <w:color w:val="auto"/>
                <w:sz w:val="21"/>
              </w:rPr>
            </w:pPr>
          </w:p>
        </w:tc>
        <w:tc>
          <w:tcPr>
            <w:tcW w:w="1348" w:type="dxa"/>
          </w:tcPr>
          <w:p w14:paraId="6E84AACD">
            <w:pPr>
              <w:pStyle w:val="39"/>
              <w:spacing w:before="257" w:line="221" w:lineRule="auto"/>
              <w:ind w:left="426"/>
              <w:rPr>
                <w:rFonts w:ascii="Times New Roman" w:hAnsi="Times New Roman" w:cs="Times New Roman"/>
                <w:color w:val="auto"/>
                <w:sz w:val="24"/>
                <w:szCs w:val="24"/>
              </w:rPr>
            </w:pPr>
            <w:r>
              <w:rPr>
                <w:rFonts w:ascii="Times New Roman" w:hAnsi="Times New Roman" w:cs="Times New Roman"/>
                <w:color w:val="auto"/>
                <w:spacing w:val="4"/>
                <w:sz w:val="24"/>
                <w:szCs w:val="24"/>
              </w:rPr>
              <w:t>电话</w:t>
            </w:r>
          </w:p>
        </w:tc>
        <w:tc>
          <w:tcPr>
            <w:tcW w:w="2672" w:type="dxa"/>
            <w:gridSpan w:val="3"/>
          </w:tcPr>
          <w:p w14:paraId="1BBC1E13">
            <w:pPr>
              <w:rPr>
                <w:rFonts w:ascii="Times New Roman" w:hAnsi="Times New Roman" w:cs="Times New Roman"/>
                <w:color w:val="auto"/>
                <w:sz w:val="21"/>
              </w:rPr>
            </w:pPr>
          </w:p>
        </w:tc>
      </w:tr>
      <w:tr w14:paraId="08151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763" w:type="dxa"/>
            <w:vMerge w:val="continue"/>
            <w:tcBorders>
              <w:top w:val="nil"/>
            </w:tcBorders>
          </w:tcPr>
          <w:p w14:paraId="5742FC39">
            <w:pPr>
              <w:rPr>
                <w:rFonts w:ascii="Times New Roman" w:hAnsi="Times New Roman" w:cs="Times New Roman"/>
                <w:color w:val="auto"/>
                <w:sz w:val="21"/>
              </w:rPr>
            </w:pPr>
          </w:p>
        </w:tc>
        <w:tc>
          <w:tcPr>
            <w:tcW w:w="2157" w:type="dxa"/>
          </w:tcPr>
          <w:p w14:paraId="5887E46F">
            <w:pPr>
              <w:pStyle w:val="39"/>
              <w:spacing w:before="184" w:line="219" w:lineRule="auto"/>
              <w:ind w:left="591"/>
              <w:rPr>
                <w:rFonts w:ascii="Times New Roman" w:hAnsi="Times New Roman" w:cs="Times New Roman"/>
                <w:color w:val="auto"/>
                <w:sz w:val="24"/>
                <w:szCs w:val="24"/>
              </w:rPr>
            </w:pPr>
            <w:r>
              <w:rPr>
                <w:rFonts w:ascii="Times New Roman" w:hAnsi="Times New Roman" w:cs="Times New Roman"/>
                <w:color w:val="auto"/>
                <w:spacing w:val="3"/>
                <w:sz w:val="24"/>
                <w:szCs w:val="24"/>
              </w:rPr>
              <w:t>身份证号</w:t>
            </w:r>
          </w:p>
        </w:tc>
        <w:tc>
          <w:tcPr>
            <w:tcW w:w="1099" w:type="dxa"/>
          </w:tcPr>
          <w:p w14:paraId="480FEB42">
            <w:pPr>
              <w:rPr>
                <w:rFonts w:ascii="Times New Roman" w:hAnsi="Times New Roman" w:cs="Times New Roman"/>
                <w:color w:val="auto"/>
                <w:sz w:val="21"/>
              </w:rPr>
            </w:pPr>
          </w:p>
        </w:tc>
        <w:tc>
          <w:tcPr>
            <w:tcW w:w="1348" w:type="dxa"/>
          </w:tcPr>
          <w:p w14:paraId="4B5F6D22">
            <w:pPr>
              <w:pStyle w:val="39"/>
              <w:spacing w:before="185" w:line="221" w:lineRule="auto"/>
              <w:ind w:left="426"/>
              <w:rPr>
                <w:rFonts w:ascii="Times New Roman" w:hAnsi="Times New Roman" w:cs="Times New Roman"/>
                <w:color w:val="auto"/>
                <w:sz w:val="24"/>
                <w:szCs w:val="24"/>
              </w:rPr>
            </w:pPr>
            <w:r>
              <w:rPr>
                <w:rFonts w:ascii="Times New Roman" w:hAnsi="Times New Roman" w:cs="Times New Roman"/>
                <w:color w:val="auto"/>
                <w:spacing w:val="-3"/>
                <w:sz w:val="24"/>
                <w:szCs w:val="24"/>
              </w:rPr>
              <w:t>住址</w:t>
            </w:r>
          </w:p>
        </w:tc>
        <w:tc>
          <w:tcPr>
            <w:tcW w:w="2672" w:type="dxa"/>
            <w:gridSpan w:val="3"/>
          </w:tcPr>
          <w:p w14:paraId="2B14D5C7">
            <w:pPr>
              <w:rPr>
                <w:rFonts w:ascii="Times New Roman" w:hAnsi="Times New Roman" w:cs="Times New Roman"/>
                <w:color w:val="auto"/>
                <w:sz w:val="21"/>
              </w:rPr>
            </w:pPr>
          </w:p>
        </w:tc>
      </w:tr>
      <w:tr w14:paraId="53DCE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63" w:type="dxa"/>
          </w:tcPr>
          <w:p w14:paraId="44DDE138">
            <w:pPr>
              <w:pStyle w:val="39"/>
              <w:spacing w:before="184" w:line="220" w:lineRule="auto"/>
              <w:ind w:left="394"/>
              <w:rPr>
                <w:rFonts w:ascii="Times New Roman" w:hAnsi="Times New Roman" w:cs="Times New Roman"/>
                <w:color w:val="auto"/>
                <w:sz w:val="24"/>
                <w:szCs w:val="24"/>
              </w:rPr>
            </w:pPr>
            <w:r>
              <w:rPr>
                <w:rFonts w:ascii="Times New Roman" w:hAnsi="Times New Roman" w:cs="Times New Roman"/>
                <w:color w:val="auto"/>
                <w:spacing w:val="3"/>
                <w:sz w:val="24"/>
                <w:szCs w:val="24"/>
              </w:rPr>
              <w:t>组织结构</w:t>
            </w:r>
          </w:p>
        </w:tc>
        <w:tc>
          <w:tcPr>
            <w:tcW w:w="7276" w:type="dxa"/>
            <w:gridSpan w:val="6"/>
          </w:tcPr>
          <w:p w14:paraId="3DD03602">
            <w:pPr>
              <w:rPr>
                <w:rFonts w:ascii="Times New Roman" w:hAnsi="Times New Roman" w:cs="Times New Roman"/>
                <w:color w:val="auto"/>
                <w:sz w:val="21"/>
              </w:rPr>
            </w:pPr>
          </w:p>
        </w:tc>
      </w:tr>
      <w:tr w14:paraId="5E097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763" w:type="dxa"/>
          </w:tcPr>
          <w:p w14:paraId="3AC0E033">
            <w:pPr>
              <w:pStyle w:val="39"/>
              <w:spacing w:before="175" w:line="219" w:lineRule="auto"/>
              <w:ind w:left="275"/>
              <w:rPr>
                <w:rFonts w:ascii="Times New Roman" w:hAnsi="Times New Roman" w:cs="Times New Roman"/>
                <w:color w:val="auto"/>
                <w:sz w:val="24"/>
                <w:szCs w:val="24"/>
              </w:rPr>
            </w:pPr>
            <w:r>
              <w:rPr>
                <w:rFonts w:ascii="Times New Roman" w:hAnsi="Times New Roman" w:cs="Times New Roman"/>
                <w:color w:val="auto"/>
                <w:spacing w:val="2"/>
                <w:sz w:val="24"/>
                <w:szCs w:val="24"/>
              </w:rPr>
              <w:t>法定代表人</w:t>
            </w:r>
          </w:p>
        </w:tc>
        <w:tc>
          <w:tcPr>
            <w:tcW w:w="2157" w:type="dxa"/>
          </w:tcPr>
          <w:p w14:paraId="1F4FFFFD">
            <w:pPr>
              <w:pStyle w:val="39"/>
              <w:spacing w:before="175" w:line="219" w:lineRule="auto"/>
              <w:ind w:left="831"/>
              <w:rPr>
                <w:rFonts w:ascii="Times New Roman" w:hAnsi="Times New Roman" w:cs="Times New Roman"/>
                <w:color w:val="auto"/>
                <w:sz w:val="24"/>
                <w:szCs w:val="24"/>
              </w:rPr>
            </w:pPr>
            <w:r>
              <w:rPr>
                <w:rFonts w:ascii="Times New Roman" w:hAnsi="Times New Roman" w:cs="Times New Roman"/>
                <w:color w:val="auto"/>
                <w:spacing w:val="15"/>
                <w:sz w:val="24"/>
                <w:szCs w:val="24"/>
              </w:rPr>
              <w:t>姓名</w:t>
            </w:r>
          </w:p>
        </w:tc>
        <w:tc>
          <w:tcPr>
            <w:tcW w:w="1099" w:type="dxa"/>
          </w:tcPr>
          <w:p w14:paraId="6275BF6F">
            <w:pPr>
              <w:pStyle w:val="39"/>
              <w:spacing w:before="175" w:line="219" w:lineRule="auto"/>
              <w:ind w:left="64"/>
              <w:rPr>
                <w:rFonts w:ascii="Times New Roman" w:hAnsi="Times New Roman" w:cs="Times New Roman"/>
                <w:color w:val="auto"/>
                <w:sz w:val="24"/>
                <w:szCs w:val="24"/>
              </w:rPr>
            </w:pPr>
            <w:r>
              <w:rPr>
                <w:rFonts w:ascii="Times New Roman" w:hAnsi="Times New Roman" w:cs="Times New Roman"/>
                <w:color w:val="auto"/>
                <w:spacing w:val="3"/>
                <w:sz w:val="24"/>
                <w:szCs w:val="24"/>
              </w:rPr>
              <w:t>技术职称</w:t>
            </w:r>
          </w:p>
        </w:tc>
        <w:tc>
          <w:tcPr>
            <w:tcW w:w="1508" w:type="dxa"/>
            <w:gridSpan w:val="2"/>
          </w:tcPr>
          <w:p w14:paraId="1D89D895">
            <w:pPr>
              <w:rPr>
                <w:rFonts w:ascii="Times New Roman" w:hAnsi="Times New Roman" w:cs="Times New Roman"/>
                <w:color w:val="auto"/>
                <w:sz w:val="21"/>
              </w:rPr>
            </w:pPr>
          </w:p>
        </w:tc>
        <w:tc>
          <w:tcPr>
            <w:tcW w:w="1009" w:type="dxa"/>
          </w:tcPr>
          <w:p w14:paraId="5DE20D0C">
            <w:pPr>
              <w:pStyle w:val="39"/>
              <w:spacing w:before="178" w:line="221" w:lineRule="auto"/>
              <w:ind w:left="258"/>
              <w:rPr>
                <w:rFonts w:ascii="Times New Roman" w:hAnsi="Times New Roman" w:cs="Times New Roman"/>
                <w:color w:val="auto"/>
                <w:sz w:val="24"/>
                <w:szCs w:val="24"/>
              </w:rPr>
            </w:pPr>
            <w:r>
              <w:rPr>
                <w:rFonts w:ascii="Times New Roman" w:hAnsi="Times New Roman" w:cs="Times New Roman"/>
                <w:color w:val="auto"/>
                <w:spacing w:val="4"/>
                <w:sz w:val="24"/>
                <w:szCs w:val="24"/>
              </w:rPr>
              <w:t>电话</w:t>
            </w:r>
          </w:p>
        </w:tc>
        <w:tc>
          <w:tcPr>
            <w:tcW w:w="1503" w:type="dxa"/>
          </w:tcPr>
          <w:p w14:paraId="6B1AD160">
            <w:pPr>
              <w:rPr>
                <w:rFonts w:ascii="Times New Roman" w:hAnsi="Times New Roman" w:cs="Times New Roman"/>
                <w:color w:val="auto"/>
                <w:sz w:val="21"/>
              </w:rPr>
            </w:pPr>
          </w:p>
        </w:tc>
      </w:tr>
      <w:tr w14:paraId="4C64B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763" w:type="dxa"/>
          </w:tcPr>
          <w:p w14:paraId="104A57AE">
            <w:pPr>
              <w:pStyle w:val="39"/>
              <w:spacing w:before="186" w:line="219" w:lineRule="auto"/>
              <w:jc w:val="center"/>
              <w:rPr>
                <w:rFonts w:ascii="Times New Roman" w:hAnsi="Times New Roman" w:cs="Times New Roman"/>
                <w:color w:val="auto"/>
                <w:sz w:val="24"/>
                <w:szCs w:val="24"/>
              </w:rPr>
            </w:pPr>
            <w:r>
              <w:rPr>
                <w:rFonts w:ascii="Times New Roman" w:hAnsi="Times New Roman" w:cs="Times New Roman"/>
                <w:color w:val="auto"/>
                <w:spacing w:val="2"/>
                <w:sz w:val="24"/>
                <w:szCs w:val="24"/>
                <w:lang w:eastAsia="zh-CN"/>
              </w:rPr>
              <w:t>企业</w:t>
            </w:r>
            <w:r>
              <w:rPr>
                <w:rFonts w:ascii="Times New Roman" w:hAnsi="Times New Roman" w:cs="Times New Roman"/>
                <w:color w:val="auto"/>
                <w:spacing w:val="2"/>
                <w:sz w:val="24"/>
                <w:szCs w:val="24"/>
              </w:rPr>
              <w:t>技术负责人</w:t>
            </w:r>
          </w:p>
        </w:tc>
        <w:tc>
          <w:tcPr>
            <w:tcW w:w="2157" w:type="dxa"/>
          </w:tcPr>
          <w:p w14:paraId="75863EEC">
            <w:pPr>
              <w:pStyle w:val="39"/>
              <w:spacing w:before="186" w:line="219" w:lineRule="auto"/>
              <w:ind w:left="831"/>
              <w:rPr>
                <w:rFonts w:ascii="Times New Roman" w:hAnsi="Times New Roman" w:cs="Times New Roman"/>
                <w:color w:val="auto"/>
                <w:sz w:val="24"/>
                <w:szCs w:val="24"/>
              </w:rPr>
            </w:pPr>
            <w:r>
              <w:rPr>
                <w:rFonts w:ascii="Times New Roman" w:hAnsi="Times New Roman" w:cs="Times New Roman"/>
                <w:color w:val="auto"/>
                <w:spacing w:val="15"/>
                <w:sz w:val="24"/>
                <w:szCs w:val="24"/>
              </w:rPr>
              <w:t>姓名</w:t>
            </w:r>
          </w:p>
        </w:tc>
        <w:tc>
          <w:tcPr>
            <w:tcW w:w="1099" w:type="dxa"/>
          </w:tcPr>
          <w:p w14:paraId="7562356C">
            <w:pPr>
              <w:pStyle w:val="39"/>
              <w:spacing w:before="186" w:line="219" w:lineRule="auto"/>
              <w:ind w:left="64"/>
              <w:rPr>
                <w:rFonts w:ascii="Times New Roman" w:hAnsi="Times New Roman" w:cs="Times New Roman"/>
                <w:color w:val="auto"/>
                <w:sz w:val="24"/>
                <w:szCs w:val="24"/>
              </w:rPr>
            </w:pPr>
            <w:r>
              <w:rPr>
                <w:rFonts w:ascii="Times New Roman" w:hAnsi="Times New Roman" w:cs="Times New Roman"/>
                <w:color w:val="auto"/>
                <w:spacing w:val="3"/>
                <w:sz w:val="24"/>
                <w:szCs w:val="24"/>
              </w:rPr>
              <w:t>技术职称</w:t>
            </w:r>
          </w:p>
        </w:tc>
        <w:tc>
          <w:tcPr>
            <w:tcW w:w="1508" w:type="dxa"/>
            <w:gridSpan w:val="2"/>
          </w:tcPr>
          <w:p w14:paraId="139843EE">
            <w:pPr>
              <w:rPr>
                <w:rFonts w:ascii="Times New Roman" w:hAnsi="Times New Roman" w:cs="Times New Roman"/>
                <w:color w:val="auto"/>
                <w:sz w:val="21"/>
              </w:rPr>
            </w:pPr>
          </w:p>
        </w:tc>
        <w:tc>
          <w:tcPr>
            <w:tcW w:w="1009" w:type="dxa"/>
          </w:tcPr>
          <w:p w14:paraId="085F5424">
            <w:pPr>
              <w:pStyle w:val="39"/>
              <w:spacing w:before="189" w:line="221" w:lineRule="auto"/>
              <w:ind w:left="258"/>
              <w:rPr>
                <w:rFonts w:ascii="Times New Roman" w:hAnsi="Times New Roman" w:cs="Times New Roman"/>
                <w:color w:val="auto"/>
                <w:sz w:val="24"/>
                <w:szCs w:val="24"/>
              </w:rPr>
            </w:pPr>
            <w:r>
              <w:rPr>
                <w:rFonts w:ascii="Times New Roman" w:hAnsi="Times New Roman" w:cs="Times New Roman"/>
                <w:color w:val="auto"/>
                <w:spacing w:val="4"/>
                <w:sz w:val="24"/>
                <w:szCs w:val="24"/>
              </w:rPr>
              <w:t>电话</w:t>
            </w:r>
          </w:p>
        </w:tc>
        <w:tc>
          <w:tcPr>
            <w:tcW w:w="1503" w:type="dxa"/>
          </w:tcPr>
          <w:p w14:paraId="24673D4D">
            <w:pPr>
              <w:rPr>
                <w:rFonts w:ascii="Times New Roman" w:hAnsi="Times New Roman" w:cs="Times New Roman"/>
                <w:color w:val="auto"/>
                <w:sz w:val="21"/>
              </w:rPr>
            </w:pPr>
          </w:p>
        </w:tc>
      </w:tr>
      <w:tr w14:paraId="4A8FE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63" w:type="dxa"/>
          </w:tcPr>
          <w:p w14:paraId="0C3958DA">
            <w:pPr>
              <w:pStyle w:val="39"/>
              <w:spacing w:before="187" w:line="221" w:lineRule="auto"/>
              <w:ind w:left="394"/>
              <w:rPr>
                <w:rFonts w:ascii="Times New Roman" w:hAnsi="Times New Roman" w:cs="Times New Roman"/>
                <w:color w:val="auto"/>
                <w:sz w:val="24"/>
                <w:szCs w:val="24"/>
              </w:rPr>
            </w:pPr>
            <w:r>
              <w:rPr>
                <w:rFonts w:ascii="Times New Roman" w:hAnsi="Times New Roman" w:cs="Times New Roman"/>
                <w:color w:val="auto"/>
                <w:spacing w:val="5"/>
                <w:sz w:val="24"/>
                <w:szCs w:val="24"/>
              </w:rPr>
              <w:t>成立时间</w:t>
            </w:r>
          </w:p>
        </w:tc>
        <w:tc>
          <w:tcPr>
            <w:tcW w:w="2157" w:type="dxa"/>
          </w:tcPr>
          <w:p w14:paraId="33AEA48A">
            <w:pPr>
              <w:rPr>
                <w:rFonts w:ascii="Times New Roman" w:hAnsi="Times New Roman" w:cs="Times New Roman"/>
                <w:color w:val="auto"/>
                <w:sz w:val="21"/>
              </w:rPr>
            </w:pPr>
          </w:p>
        </w:tc>
        <w:tc>
          <w:tcPr>
            <w:tcW w:w="5119" w:type="dxa"/>
            <w:gridSpan w:val="5"/>
          </w:tcPr>
          <w:p w14:paraId="7F8A4700">
            <w:pPr>
              <w:pStyle w:val="39"/>
              <w:spacing w:before="186" w:line="219" w:lineRule="auto"/>
              <w:ind w:left="34"/>
              <w:rPr>
                <w:rFonts w:ascii="Times New Roman" w:hAnsi="Times New Roman" w:cs="Times New Roman"/>
                <w:color w:val="auto"/>
                <w:sz w:val="24"/>
                <w:szCs w:val="24"/>
              </w:rPr>
            </w:pPr>
            <w:r>
              <w:rPr>
                <w:rFonts w:ascii="Times New Roman" w:hAnsi="Times New Roman" w:cs="Times New Roman"/>
                <w:color w:val="auto"/>
                <w:spacing w:val="-1"/>
                <w:sz w:val="24"/>
                <w:szCs w:val="24"/>
              </w:rPr>
              <w:t>员工总人数：</w:t>
            </w:r>
          </w:p>
        </w:tc>
      </w:tr>
      <w:tr w14:paraId="63D14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763" w:type="dxa"/>
          </w:tcPr>
          <w:p w14:paraId="5955A203">
            <w:pPr>
              <w:pStyle w:val="39"/>
              <w:spacing w:before="177" w:line="219" w:lineRule="auto"/>
              <w:ind w:left="154"/>
              <w:rPr>
                <w:rFonts w:ascii="Times New Roman" w:hAnsi="Times New Roman" w:cs="Times New Roman"/>
                <w:color w:val="auto"/>
                <w:sz w:val="24"/>
                <w:szCs w:val="24"/>
              </w:rPr>
            </w:pPr>
            <w:r>
              <w:rPr>
                <w:rFonts w:ascii="Times New Roman" w:hAnsi="Times New Roman" w:cs="Times New Roman"/>
                <w:color w:val="auto"/>
                <w:spacing w:val="2"/>
                <w:sz w:val="24"/>
                <w:szCs w:val="24"/>
              </w:rPr>
              <w:t>企业资质等级</w:t>
            </w:r>
          </w:p>
        </w:tc>
        <w:tc>
          <w:tcPr>
            <w:tcW w:w="2157" w:type="dxa"/>
          </w:tcPr>
          <w:p w14:paraId="31E966CE">
            <w:pPr>
              <w:rPr>
                <w:rFonts w:ascii="Times New Roman" w:hAnsi="Times New Roman" w:cs="Times New Roman"/>
                <w:color w:val="auto"/>
                <w:sz w:val="21"/>
              </w:rPr>
            </w:pPr>
          </w:p>
        </w:tc>
        <w:tc>
          <w:tcPr>
            <w:tcW w:w="1099" w:type="dxa"/>
            <w:vMerge w:val="restart"/>
            <w:tcBorders>
              <w:bottom w:val="nil"/>
            </w:tcBorders>
          </w:tcPr>
          <w:p w14:paraId="4DBC5914">
            <w:pPr>
              <w:spacing w:line="258" w:lineRule="auto"/>
              <w:rPr>
                <w:rFonts w:ascii="Times New Roman" w:hAnsi="Times New Roman" w:cs="Times New Roman"/>
                <w:color w:val="auto"/>
                <w:sz w:val="21"/>
              </w:rPr>
            </w:pPr>
          </w:p>
          <w:p w14:paraId="38AB8CE2">
            <w:pPr>
              <w:spacing w:line="258" w:lineRule="auto"/>
              <w:rPr>
                <w:rFonts w:ascii="Times New Roman" w:hAnsi="Times New Roman" w:cs="Times New Roman"/>
                <w:color w:val="auto"/>
                <w:sz w:val="21"/>
              </w:rPr>
            </w:pPr>
          </w:p>
          <w:p w14:paraId="567C16D7">
            <w:pPr>
              <w:spacing w:line="258" w:lineRule="auto"/>
              <w:rPr>
                <w:rFonts w:ascii="Times New Roman" w:hAnsi="Times New Roman" w:cs="Times New Roman"/>
                <w:color w:val="auto"/>
                <w:sz w:val="21"/>
              </w:rPr>
            </w:pPr>
          </w:p>
          <w:p w14:paraId="09CC544D">
            <w:pPr>
              <w:spacing w:line="258" w:lineRule="auto"/>
              <w:rPr>
                <w:rFonts w:ascii="Times New Roman" w:hAnsi="Times New Roman" w:cs="Times New Roman"/>
                <w:color w:val="auto"/>
                <w:sz w:val="21"/>
              </w:rPr>
            </w:pPr>
          </w:p>
          <w:p w14:paraId="5AE48A6E">
            <w:pPr>
              <w:spacing w:line="259" w:lineRule="auto"/>
              <w:rPr>
                <w:rFonts w:ascii="Times New Roman" w:hAnsi="Times New Roman" w:cs="Times New Roman"/>
                <w:color w:val="auto"/>
                <w:sz w:val="21"/>
              </w:rPr>
            </w:pPr>
          </w:p>
          <w:p w14:paraId="1F2AF676">
            <w:pPr>
              <w:pStyle w:val="39"/>
              <w:spacing w:before="78" w:line="220" w:lineRule="auto"/>
              <w:ind w:left="304"/>
              <w:rPr>
                <w:rFonts w:ascii="Times New Roman" w:hAnsi="Times New Roman" w:cs="Times New Roman"/>
                <w:color w:val="auto"/>
                <w:sz w:val="24"/>
                <w:szCs w:val="24"/>
              </w:rPr>
            </w:pPr>
            <w:r>
              <w:rPr>
                <w:rFonts w:ascii="Times New Roman" w:hAnsi="Times New Roman" w:cs="Times New Roman"/>
                <w:color w:val="auto"/>
                <w:spacing w:val="13"/>
                <w:sz w:val="24"/>
                <w:szCs w:val="24"/>
              </w:rPr>
              <w:t>其中</w:t>
            </w:r>
          </w:p>
        </w:tc>
        <w:tc>
          <w:tcPr>
            <w:tcW w:w="1508" w:type="dxa"/>
            <w:gridSpan w:val="2"/>
          </w:tcPr>
          <w:p w14:paraId="7A7C00B7">
            <w:pPr>
              <w:pStyle w:val="39"/>
              <w:spacing w:before="177" w:line="219" w:lineRule="auto"/>
              <w:ind w:left="146"/>
              <w:rPr>
                <w:rFonts w:ascii="Times New Roman" w:hAnsi="Times New Roman" w:cs="Times New Roman"/>
                <w:color w:val="auto"/>
                <w:sz w:val="24"/>
                <w:szCs w:val="24"/>
              </w:rPr>
            </w:pPr>
            <w:r>
              <w:rPr>
                <w:rFonts w:ascii="Times New Roman" w:hAnsi="Times New Roman" w:cs="Times New Roman"/>
                <w:color w:val="auto"/>
                <w:spacing w:val="2"/>
                <w:sz w:val="24"/>
                <w:szCs w:val="24"/>
              </w:rPr>
              <w:t>项目负责人</w:t>
            </w:r>
          </w:p>
        </w:tc>
        <w:tc>
          <w:tcPr>
            <w:tcW w:w="2512" w:type="dxa"/>
            <w:gridSpan w:val="2"/>
          </w:tcPr>
          <w:p w14:paraId="543AADC6">
            <w:pPr>
              <w:rPr>
                <w:rFonts w:ascii="Times New Roman" w:hAnsi="Times New Roman" w:cs="Times New Roman"/>
                <w:color w:val="auto"/>
                <w:sz w:val="21"/>
              </w:rPr>
            </w:pPr>
          </w:p>
        </w:tc>
      </w:tr>
      <w:tr w14:paraId="7C6C0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763" w:type="dxa"/>
          </w:tcPr>
          <w:p w14:paraId="5A96D4BB">
            <w:pPr>
              <w:pStyle w:val="39"/>
              <w:spacing w:before="188" w:line="219" w:lineRule="auto"/>
              <w:ind w:left="275"/>
              <w:rPr>
                <w:rFonts w:ascii="Times New Roman" w:hAnsi="Times New Roman" w:cs="Times New Roman"/>
                <w:color w:val="auto"/>
                <w:sz w:val="24"/>
                <w:szCs w:val="24"/>
              </w:rPr>
            </w:pPr>
            <w:r>
              <w:rPr>
                <w:rFonts w:ascii="Times New Roman" w:hAnsi="Times New Roman" w:cs="Times New Roman"/>
                <w:color w:val="auto"/>
                <w:spacing w:val="2"/>
                <w:sz w:val="24"/>
                <w:szCs w:val="24"/>
              </w:rPr>
              <w:t>营业执照号</w:t>
            </w:r>
          </w:p>
        </w:tc>
        <w:tc>
          <w:tcPr>
            <w:tcW w:w="2157" w:type="dxa"/>
          </w:tcPr>
          <w:p w14:paraId="44ED1140">
            <w:pPr>
              <w:rPr>
                <w:rFonts w:ascii="Times New Roman" w:hAnsi="Times New Roman" w:cs="Times New Roman"/>
                <w:color w:val="auto"/>
                <w:sz w:val="21"/>
              </w:rPr>
            </w:pPr>
          </w:p>
        </w:tc>
        <w:tc>
          <w:tcPr>
            <w:tcW w:w="1099" w:type="dxa"/>
            <w:vMerge w:val="continue"/>
            <w:tcBorders>
              <w:top w:val="nil"/>
              <w:bottom w:val="nil"/>
            </w:tcBorders>
          </w:tcPr>
          <w:p w14:paraId="4301EC97">
            <w:pPr>
              <w:rPr>
                <w:rFonts w:ascii="Times New Roman" w:hAnsi="Times New Roman" w:cs="Times New Roman"/>
                <w:color w:val="auto"/>
                <w:sz w:val="21"/>
              </w:rPr>
            </w:pPr>
          </w:p>
        </w:tc>
        <w:tc>
          <w:tcPr>
            <w:tcW w:w="1508" w:type="dxa"/>
            <w:gridSpan w:val="2"/>
          </w:tcPr>
          <w:p w14:paraId="63143B9C">
            <w:pPr>
              <w:pStyle w:val="39"/>
              <w:spacing w:before="188" w:line="219" w:lineRule="auto"/>
              <w:jc w:val="right"/>
              <w:rPr>
                <w:rFonts w:ascii="Times New Roman" w:hAnsi="Times New Roman" w:cs="Times New Roman"/>
                <w:color w:val="auto"/>
                <w:sz w:val="24"/>
                <w:szCs w:val="24"/>
              </w:rPr>
            </w:pPr>
            <w:r>
              <w:rPr>
                <w:rFonts w:ascii="Times New Roman" w:hAnsi="Times New Roman" w:cs="Times New Roman"/>
                <w:color w:val="auto"/>
                <w:spacing w:val="5"/>
                <w:sz w:val="24"/>
                <w:szCs w:val="24"/>
              </w:rPr>
              <w:t>高级职称人员</w:t>
            </w:r>
          </w:p>
        </w:tc>
        <w:tc>
          <w:tcPr>
            <w:tcW w:w="2512" w:type="dxa"/>
            <w:gridSpan w:val="2"/>
          </w:tcPr>
          <w:p w14:paraId="7BA037A9">
            <w:pPr>
              <w:rPr>
                <w:rFonts w:ascii="Times New Roman" w:hAnsi="Times New Roman" w:cs="Times New Roman"/>
                <w:color w:val="auto"/>
                <w:sz w:val="21"/>
              </w:rPr>
            </w:pPr>
          </w:p>
        </w:tc>
      </w:tr>
      <w:tr w14:paraId="5352A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63" w:type="dxa"/>
          </w:tcPr>
          <w:p w14:paraId="64B69B4E">
            <w:pPr>
              <w:pStyle w:val="39"/>
              <w:spacing w:before="189" w:line="221" w:lineRule="auto"/>
              <w:ind w:left="394"/>
              <w:rPr>
                <w:rFonts w:ascii="Times New Roman" w:hAnsi="Times New Roman" w:cs="Times New Roman"/>
                <w:color w:val="auto"/>
                <w:sz w:val="24"/>
                <w:szCs w:val="24"/>
              </w:rPr>
            </w:pPr>
            <w:r>
              <w:rPr>
                <w:rFonts w:ascii="Times New Roman" w:hAnsi="Times New Roman" w:cs="Times New Roman"/>
                <w:color w:val="auto"/>
                <w:spacing w:val="-2"/>
                <w:sz w:val="24"/>
                <w:szCs w:val="24"/>
              </w:rPr>
              <w:t>注册资金</w:t>
            </w:r>
          </w:p>
        </w:tc>
        <w:tc>
          <w:tcPr>
            <w:tcW w:w="2157" w:type="dxa"/>
          </w:tcPr>
          <w:p w14:paraId="59A5DB79">
            <w:pPr>
              <w:rPr>
                <w:rFonts w:ascii="Times New Roman" w:hAnsi="Times New Roman" w:cs="Times New Roman"/>
                <w:color w:val="auto"/>
                <w:sz w:val="21"/>
              </w:rPr>
            </w:pPr>
          </w:p>
        </w:tc>
        <w:tc>
          <w:tcPr>
            <w:tcW w:w="1099" w:type="dxa"/>
            <w:vMerge w:val="continue"/>
            <w:tcBorders>
              <w:top w:val="nil"/>
              <w:bottom w:val="nil"/>
            </w:tcBorders>
          </w:tcPr>
          <w:p w14:paraId="26C920B9">
            <w:pPr>
              <w:rPr>
                <w:rFonts w:ascii="Times New Roman" w:hAnsi="Times New Roman" w:cs="Times New Roman"/>
                <w:color w:val="auto"/>
                <w:sz w:val="21"/>
              </w:rPr>
            </w:pPr>
          </w:p>
        </w:tc>
        <w:tc>
          <w:tcPr>
            <w:tcW w:w="1508" w:type="dxa"/>
            <w:gridSpan w:val="2"/>
          </w:tcPr>
          <w:p w14:paraId="4A32B09D">
            <w:pPr>
              <w:pStyle w:val="39"/>
              <w:spacing w:before="188" w:line="220" w:lineRule="auto"/>
              <w:jc w:val="right"/>
              <w:rPr>
                <w:rFonts w:ascii="Times New Roman" w:hAnsi="Times New Roman" w:cs="Times New Roman"/>
                <w:color w:val="auto"/>
                <w:sz w:val="24"/>
                <w:szCs w:val="24"/>
              </w:rPr>
            </w:pPr>
            <w:r>
              <w:rPr>
                <w:rFonts w:ascii="Times New Roman" w:hAnsi="Times New Roman" w:cs="Times New Roman"/>
                <w:color w:val="auto"/>
                <w:spacing w:val="5"/>
                <w:sz w:val="24"/>
                <w:szCs w:val="24"/>
              </w:rPr>
              <w:t>中级职称人员</w:t>
            </w:r>
          </w:p>
        </w:tc>
        <w:tc>
          <w:tcPr>
            <w:tcW w:w="2512" w:type="dxa"/>
            <w:gridSpan w:val="2"/>
          </w:tcPr>
          <w:p w14:paraId="013AB47B">
            <w:pPr>
              <w:rPr>
                <w:rFonts w:ascii="Times New Roman" w:hAnsi="Times New Roman" w:cs="Times New Roman"/>
                <w:color w:val="auto"/>
                <w:sz w:val="21"/>
              </w:rPr>
            </w:pPr>
          </w:p>
        </w:tc>
      </w:tr>
      <w:tr w14:paraId="6DA63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763" w:type="dxa"/>
          </w:tcPr>
          <w:p w14:paraId="338D4932">
            <w:pPr>
              <w:pStyle w:val="39"/>
              <w:spacing w:before="179" w:line="220" w:lineRule="auto"/>
              <w:ind w:left="394"/>
              <w:rPr>
                <w:rFonts w:ascii="Times New Roman" w:hAnsi="Times New Roman" w:cs="Times New Roman"/>
                <w:color w:val="auto"/>
                <w:sz w:val="24"/>
                <w:szCs w:val="24"/>
              </w:rPr>
            </w:pPr>
            <w:r>
              <w:rPr>
                <w:rFonts w:ascii="Times New Roman" w:hAnsi="Times New Roman" w:cs="Times New Roman"/>
                <w:color w:val="auto"/>
                <w:spacing w:val="3"/>
                <w:sz w:val="24"/>
                <w:szCs w:val="24"/>
              </w:rPr>
              <w:t>开户银行</w:t>
            </w:r>
          </w:p>
        </w:tc>
        <w:tc>
          <w:tcPr>
            <w:tcW w:w="2157" w:type="dxa"/>
          </w:tcPr>
          <w:p w14:paraId="463C1742">
            <w:pPr>
              <w:rPr>
                <w:rFonts w:ascii="Times New Roman" w:hAnsi="Times New Roman" w:cs="Times New Roman"/>
                <w:color w:val="auto"/>
                <w:sz w:val="21"/>
              </w:rPr>
            </w:pPr>
          </w:p>
        </w:tc>
        <w:tc>
          <w:tcPr>
            <w:tcW w:w="1099" w:type="dxa"/>
            <w:vMerge w:val="continue"/>
            <w:tcBorders>
              <w:top w:val="nil"/>
              <w:bottom w:val="nil"/>
            </w:tcBorders>
          </w:tcPr>
          <w:p w14:paraId="595D4788">
            <w:pPr>
              <w:rPr>
                <w:rFonts w:ascii="Times New Roman" w:hAnsi="Times New Roman" w:cs="Times New Roman"/>
                <w:color w:val="auto"/>
                <w:sz w:val="21"/>
              </w:rPr>
            </w:pPr>
          </w:p>
        </w:tc>
        <w:tc>
          <w:tcPr>
            <w:tcW w:w="1508" w:type="dxa"/>
            <w:gridSpan w:val="2"/>
          </w:tcPr>
          <w:p w14:paraId="2F6B530A">
            <w:pPr>
              <w:pStyle w:val="39"/>
              <w:spacing w:before="180" w:line="221" w:lineRule="auto"/>
              <w:jc w:val="right"/>
              <w:rPr>
                <w:rFonts w:ascii="Times New Roman" w:hAnsi="Times New Roman" w:cs="Times New Roman"/>
                <w:color w:val="auto"/>
                <w:sz w:val="24"/>
                <w:szCs w:val="24"/>
              </w:rPr>
            </w:pPr>
            <w:r>
              <w:rPr>
                <w:rFonts w:ascii="Times New Roman" w:hAnsi="Times New Roman" w:cs="Times New Roman"/>
                <w:color w:val="auto"/>
                <w:spacing w:val="5"/>
                <w:sz w:val="24"/>
                <w:szCs w:val="24"/>
              </w:rPr>
              <w:t>初级职称人员</w:t>
            </w:r>
          </w:p>
        </w:tc>
        <w:tc>
          <w:tcPr>
            <w:tcW w:w="2512" w:type="dxa"/>
            <w:gridSpan w:val="2"/>
          </w:tcPr>
          <w:p w14:paraId="5A80DBAD">
            <w:pPr>
              <w:rPr>
                <w:rFonts w:ascii="Times New Roman" w:hAnsi="Times New Roman" w:cs="Times New Roman"/>
                <w:color w:val="auto"/>
                <w:sz w:val="21"/>
              </w:rPr>
            </w:pPr>
          </w:p>
        </w:tc>
      </w:tr>
      <w:tr w14:paraId="28F8B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763" w:type="dxa"/>
          </w:tcPr>
          <w:p w14:paraId="307CC20D">
            <w:pPr>
              <w:pStyle w:val="39"/>
              <w:spacing w:before="190" w:line="221" w:lineRule="auto"/>
              <w:ind w:left="634"/>
              <w:rPr>
                <w:rFonts w:ascii="Times New Roman" w:hAnsi="Times New Roman" w:cs="Times New Roman"/>
                <w:color w:val="auto"/>
                <w:sz w:val="24"/>
                <w:szCs w:val="24"/>
              </w:rPr>
            </w:pPr>
            <w:r>
              <w:rPr>
                <w:rFonts w:ascii="Times New Roman" w:hAnsi="Times New Roman" w:cs="Times New Roman"/>
                <w:color w:val="auto"/>
                <w:spacing w:val="7"/>
                <w:sz w:val="24"/>
                <w:szCs w:val="24"/>
              </w:rPr>
              <w:t>账号</w:t>
            </w:r>
          </w:p>
        </w:tc>
        <w:tc>
          <w:tcPr>
            <w:tcW w:w="2157" w:type="dxa"/>
          </w:tcPr>
          <w:p w14:paraId="006662FE">
            <w:pPr>
              <w:rPr>
                <w:rFonts w:ascii="Times New Roman" w:hAnsi="Times New Roman" w:cs="Times New Roman"/>
                <w:color w:val="auto"/>
                <w:sz w:val="21"/>
              </w:rPr>
            </w:pPr>
          </w:p>
        </w:tc>
        <w:tc>
          <w:tcPr>
            <w:tcW w:w="1099" w:type="dxa"/>
            <w:vMerge w:val="continue"/>
            <w:tcBorders>
              <w:top w:val="nil"/>
            </w:tcBorders>
          </w:tcPr>
          <w:p w14:paraId="3ABB5A27">
            <w:pPr>
              <w:rPr>
                <w:rFonts w:ascii="Times New Roman" w:hAnsi="Times New Roman" w:cs="Times New Roman"/>
                <w:color w:val="auto"/>
                <w:sz w:val="21"/>
              </w:rPr>
            </w:pPr>
          </w:p>
        </w:tc>
        <w:tc>
          <w:tcPr>
            <w:tcW w:w="1508" w:type="dxa"/>
            <w:gridSpan w:val="2"/>
          </w:tcPr>
          <w:p w14:paraId="364E3EAC">
            <w:pPr>
              <w:pStyle w:val="39"/>
              <w:spacing w:before="190" w:line="221" w:lineRule="auto"/>
              <w:ind w:left="505"/>
              <w:rPr>
                <w:rFonts w:ascii="Times New Roman" w:hAnsi="Times New Roman" w:cs="Times New Roman"/>
                <w:color w:val="auto"/>
                <w:sz w:val="24"/>
                <w:szCs w:val="24"/>
              </w:rPr>
            </w:pPr>
            <w:r>
              <w:rPr>
                <w:rFonts w:ascii="Times New Roman" w:hAnsi="Times New Roman" w:cs="Times New Roman"/>
                <w:color w:val="auto"/>
                <w:spacing w:val="6"/>
                <w:sz w:val="24"/>
                <w:szCs w:val="24"/>
              </w:rPr>
              <w:t>技工</w:t>
            </w:r>
          </w:p>
        </w:tc>
        <w:tc>
          <w:tcPr>
            <w:tcW w:w="2512" w:type="dxa"/>
            <w:gridSpan w:val="2"/>
          </w:tcPr>
          <w:p w14:paraId="4B4029A0">
            <w:pPr>
              <w:rPr>
                <w:rFonts w:ascii="Times New Roman" w:hAnsi="Times New Roman" w:cs="Times New Roman"/>
                <w:color w:val="auto"/>
                <w:sz w:val="21"/>
              </w:rPr>
            </w:pPr>
          </w:p>
        </w:tc>
      </w:tr>
      <w:tr w14:paraId="4F99F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63" w:type="dxa"/>
          </w:tcPr>
          <w:p w14:paraId="0BB3C3C3">
            <w:pPr>
              <w:pStyle w:val="39"/>
              <w:spacing w:before="199" w:line="220" w:lineRule="auto"/>
              <w:ind w:left="154"/>
              <w:rPr>
                <w:rFonts w:ascii="Times New Roman" w:hAnsi="Times New Roman" w:cs="Times New Roman"/>
                <w:color w:val="auto"/>
                <w:sz w:val="24"/>
                <w:szCs w:val="24"/>
              </w:rPr>
            </w:pPr>
            <w:r>
              <w:rPr>
                <w:rFonts w:ascii="Times New Roman" w:hAnsi="Times New Roman" w:cs="Times New Roman"/>
                <w:color w:val="auto"/>
                <w:spacing w:val="2"/>
                <w:sz w:val="24"/>
                <w:szCs w:val="24"/>
              </w:rPr>
              <w:t>经营范围备注</w:t>
            </w:r>
          </w:p>
        </w:tc>
        <w:tc>
          <w:tcPr>
            <w:tcW w:w="7276" w:type="dxa"/>
            <w:gridSpan w:val="6"/>
          </w:tcPr>
          <w:p w14:paraId="0776A375">
            <w:pPr>
              <w:rPr>
                <w:rFonts w:ascii="Times New Roman" w:hAnsi="Times New Roman" w:cs="Times New Roman"/>
                <w:color w:val="auto"/>
                <w:sz w:val="21"/>
              </w:rPr>
            </w:pPr>
          </w:p>
        </w:tc>
      </w:tr>
    </w:tbl>
    <w:p w14:paraId="630EC93B">
      <w:pPr>
        <w:pStyle w:val="8"/>
        <w:spacing w:line="287" w:lineRule="auto"/>
        <w:rPr>
          <w:rFonts w:cs="Times New Roman"/>
          <w:color w:val="auto"/>
        </w:rPr>
      </w:pPr>
    </w:p>
    <w:p w14:paraId="0AE1EE1F">
      <w:pPr>
        <w:spacing w:before="74"/>
        <w:ind w:right="3300"/>
        <w:rPr>
          <w:rFonts w:ascii="Times New Roman" w:hAnsi="Times New Roman" w:eastAsia="宋体" w:cs="Times New Roman"/>
          <w:color w:val="auto"/>
          <w:spacing w:val="11"/>
          <w:szCs w:val="24"/>
        </w:rPr>
      </w:pPr>
      <w:r>
        <w:rPr>
          <w:rFonts w:ascii="Times New Roman" w:hAnsi="Times New Roman" w:eastAsia="宋体" w:cs="Times New Roman"/>
          <w:color w:val="auto"/>
          <w:spacing w:val="7"/>
          <w:szCs w:val="24"/>
        </w:rPr>
        <w:t>附营业执照、资质证书、认证体系证书等相关打分资</w:t>
      </w:r>
      <w:r>
        <w:rPr>
          <w:rFonts w:ascii="Times New Roman" w:hAnsi="Times New Roman" w:eastAsia="宋体" w:cs="Times New Roman"/>
          <w:color w:val="auto"/>
          <w:spacing w:val="6"/>
          <w:szCs w:val="24"/>
        </w:rPr>
        <w:t>料。</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11"/>
          <w:szCs w:val="24"/>
        </w:rPr>
        <w:t>　　　</w:t>
      </w:r>
    </w:p>
    <w:p w14:paraId="1BCEEC91">
      <w:pPr>
        <w:spacing w:before="74"/>
        <w:ind w:right="-90"/>
        <w:rPr>
          <w:rFonts w:ascii="Times New Roman" w:hAnsi="Times New Roman" w:eastAsia="宋体" w:cs="Times New Roman"/>
          <w:color w:val="auto"/>
          <w:spacing w:val="11"/>
          <w:szCs w:val="24"/>
        </w:rPr>
      </w:pPr>
      <w:r>
        <w:rPr>
          <w:rFonts w:ascii="Times New Roman" w:hAnsi="Times New Roman" w:eastAsia="宋体" w:cs="Times New Roman"/>
          <w:color w:val="auto"/>
          <w:spacing w:val="11"/>
          <w:szCs w:val="24"/>
        </w:rPr>
        <w:t>　　　　　　　　　　　　　　　　　　　　　　潜在承包人</w:t>
      </w:r>
      <w:r>
        <w:rPr>
          <w:rFonts w:ascii="Times New Roman" w:hAnsi="Times New Roman" w:cs="Times New Roman"/>
          <w:color w:val="auto"/>
        </w:rPr>
        <w:t>名称</w:t>
      </w:r>
      <w:r>
        <w:rPr>
          <w:rFonts w:ascii="Times New Roman" w:hAnsi="Times New Roman" w:eastAsia="宋体" w:cs="Times New Roman"/>
          <w:color w:val="auto"/>
          <w:spacing w:val="11"/>
          <w:szCs w:val="24"/>
        </w:rPr>
        <w:t>(电子签名)：</w:t>
      </w:r>
    </w:p>
    <w:p w14:paraId="31B04D99">
      <w:pPr>
        <w:spacing w:before="74"/>
        <w:ind w:right="-90"/>
        <w:rPr>
          <w:rFonts w:ascii="Times New Roman" w:hAnsi="Times New Roman" w:cs="Times New Roman"/>
          <w:color w:val="auto"/>
          <w:u w:val="single"/>
        </w:rPr>
      </w:pPr>
      <w:r>
        <w:rPr>
          <w:rFonts w:ascii="Times New Roman" w:hAnsi="Times New Roman" w:eastAsia="宋体" w:cs="Times New Roman"/>
          <w:color w:val="auto"/>
          <w:spacing w:val="11"/>
          <w:szCs w:val="24"/>
        </w:rPr>
        <w:t>　　　　　　　　　　　　　　　　　　　　　　</w:t>
      </w:r>
      <w:r>
        <w:rPr>
          <w:rFonts w:ascii="Times New Roman" w:hAnsi="Times New Roman" w:cs="Times New Roman"/>
          <w:color w:val="auto"/>
        </w:rPr>
        <w:t>日期：  年   月   日</w:t>
      </w:r>
    </w:p>
    <w:p w14:paraId="5C76DE3D">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项目管理班子配备情况表</w:t>
      </w:r>
    </w:p>
    <w:p w14:paraId="5B3C8D11">
      <w:pPr>
        <w:spacing w:before="222" w:line="220" w:lineRule="auto"/>
        <w:ind w:left="114"/>
        <w:rPr>
          <w:rFonts w:ascii="Times New Roman" w:hAnsi="Times New Roman" w:eastAsia="宋体" w:cs="Times New Roman"/>
          <w:color w:val="auto"/>
          <w:sz w:val="22"/>
          <w:szCs w:val="22"/>
        </w:rPr>
      </w:pPr>
      <w:r>
        <w:rPr>
          <w:rFonts w:ascii="Times New Roman" w:hAnsi="Times New Roman" w:eastAsia="宋体" w:cs="Times New Roman"/>
          <w:color w:val="auto"/>
          <w:spacing w:val="10"/>
          <w:sz w:val="22"/>
          <w:szCs w:val="22"/>
        </w:rPr>
        <w:t>项目名称：</w:t>
      </w:r>
    </w:p>
    <w:p w14:paraId="33332CD0">
      <w:pPr>
        <w:spacing w:line="133" w:lineRule="exact"/>
        <w:rPr>
          <w:rFonts w:ascii="Times New Roman" w:hAnsi="Times New Roman" w:cs="Times New Roman"/>
          <w:color w:val="auto"/>
        </w:rPr>
      </w:pPr>
    </w:p>
    <w:tbl>
      <w:tblPr>
        <w:tblStyle w:val="29"/>
        <w:tblW w:w="96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2298"/>
        <w:gridCol w:w="789"/>
        <w:gridCol w:w="949"/>
        <w:gridCol w:w="749"/>
        <w:gridCol w:w="809"/>
        <w:gridCol w:w="749"/>
        <w:gridCol w:w="699"/>
        <w:gridCol w:w="839"/>
        <w:gridCol w:w="1054"/>
      </w:tblGrid>
      <w:tr w14:paraId="35A69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2982" w:type="dxa"/>
            <w:gridSpan w:val="2"/>
            <w:vMerge w:val="restart"/>
            <w:tcBorders>
              <w:bottom w:val="nil"/>
            </w:tcBorders>
          </w:tcPr>
          <w:p w14:paraId="0C2E3C7B">
            <w:pPr>
              <w:spacing w:line="285" w:lineRule="auto"/>
              <w:rPr>
                <w:rFonts w:ascii="Times New Roman" w:hAnsi="Times New Roman" w:cs="Times New Roman"/>
                <w:color w:val="auto"/>
                <w:sz w:val="21"/>
              </w:rPr>
            </w:pPr>
          </w:p>
          <w:p w14:paraId="46B26194">
            <w:pPr>
              <w:pStyle w:val="39"/>
              <w:spacing w:before="78" w:line="219" w:lineRule="auto"/>
              <w:ind w:left="224"/>
              <w:jc w:val="center"/>
              <w:rPr>
                <w:rFonts w:ascii="Times New Roman" w:hAnsi="Times New Roman" w:cs="Times New Roman"/>
                <w:color w:val="auto"/>
                <w:spacing w:val="1"/>
                <w:sz w:val="24"/>
                <w:szCs w:val="24"/>
                <w:lang w:eastAsia="zh-CN"/>
              </w:rPr>
            </w:pPr>
            <w:r>
              <w:rPr>
                <w:rFonts w:ascii="Times New Roman" w:hAnsi="Times New Roman" w:cs="Times New Roman"/>
                <w:color w:val="auto"/>
                <w:spacing w:val="1"/>
                <w:sz w:val="24"/>
                <w:szCs w:val="24"/>
                <w:lang w:eastAsia="zh-CN"/>
              </w:rPr>
              <w:t>岗位</w:t>
            </w:r>
          </w:p>
          <w:p w14:paraId="238B12A7">
            <w:pPr>
              <w:pStyle w:val="39"/>
              <w:spacing w:before="78" w:line="219" w:lineRule="auto"/>
              <w:ind w:left="224"/>
              <w:rPr>
                <w:rFonts w:ascii="Times New Roman" w:hAnsi="Times New Roman" w:cs="Times New Roman"/>
                <w:color w:val="auto"/>
                <w:sz w:val="24"/>
                <w:szCs w:val="24"/>
                <w:lang w:eastAsia="zh-CN"/>
              </w:rPr>
            </w:pPr>
            <w:r>
              <w:rPr>
                <w:rFonts w:ascii="Times New Roman" w:hAnsi="Times New Roman" w:cs="Times New Roman"/>
                <w:color w:val="auto"/>
                <w:spacing w:val="1"/>
                <w:sz w:val="24"/>
                <w:szCs w:val="24"/>
                <w:lang w:eastAsia="zh-CN"/>
              </w:rPr>
              <w:t>(由发包人根据项目实</w:t>
            </w:r>
            <w:r>
              <w:rPr>
                <w:rFonts w:ascii="Times New Roman" w:hAnsi="Times New Roman" w:cs="Times New Roman"/>
                <w:color w:val="auto"/>
                <w:spacing w:val="8"/>
                <w:sz w:val="24"/>
                <w:szCs w:val="24"/>
                <w:lang w:eastAsia="zh-CN"/>
              </w:rPr>
              <w:t>际按需设置)</w:t>
            </w:r>
          </w:p>
        </w:tc>
        <w:tc>
          <w:tcPr>
            <w:tcW w:w="789" w:type="dxa"/>
            <w:vMerge w:val="restart"/>
            <w:tcBorders>
              <w:bottom w:val="nil"/>
            </w:tcBorders>
          </w:tcPr>
          <w:p w14:paraId="1022741B">
            <w:pPr>
              <w:spacing w:line="286" w:lineRule="auto"/>
              <w:rPr>
                <w:rFonts w:ascii="Times New Roman" w:hAnsi="Times New Roman" w:cs="Times New Roman"/>
                <w:color w:val="auto"/>
                <w:sz w:val="21"/>
              </w:rPr>
            </w:pPr>
          </w:p>
          <w:p w14:paraId="5FA1816F">
            <w:pPr>
              <w:spacing w:line="287" w:lineRule="auto"/>
              <w:rPr>
                <w:rFonts w:ascii="Times New Roman" w:hAnsi="Times New Roman" w:cs="Times New Roman"/>
                <w:color w:val="auto"/>
                <w:sz w:val="21"/>
              </w:rPr>
            </w:pPr>
          </w:p>
          <w:p w14:paraId="5CE2F5D7">
            <w:pPr>
              <w:pStyle w:val="39"/>
              <w:spacing w:before="78" w:line="219" w:lineRule="auto"/>
              <w:ind w:left="142"/>
              <w:rPr>
                <w:rFonts w:ascii="Times New Roman" w:hAnsi="Times New Roman" w:cs="Times New Roman"/>
                <w:color w:val="auto"/>
                <w:sz w:val="24"/>
                <w:szCs w:val="24"/>
              </w:rPr>
            </w:pPr>
            <w:r>
              <w:rPr>
                <w:rFonts w:ascii="Times New Roman" w:hAnsi="Times New Roman" w:cs="Times New Roman"/>
                <w:color w:val="auto"/>
                <w:spacing w:val="15"/>
                <w:sz w:val="24"/>
                <w:szCs w:val="24"/>
              </w:rPr>
              <w:t>姓名</w:t>
            </w:r>
          </w:p>
        </w:tc>
        <w:tc>
          <w:tcPr>
            <w:tcW w:w="949" w:type="dxa"/>
            <w:vMerge w:val="restart"/>
            <w:tcBorders>
              <w:bottom w:val="nil"/>
            </w:tcBorders>
          </w:tcPr>
          <w:p w14:paraId="64E97E82">
            <w:pPr>
              <w:spacing w:line="286" w:lineRule="auto"/>
              <w:rPr>
                <w:rFonts w:ascii="Times New Roman" w:hAnsi="Times New Roman" w:cs="Times New Roman"/>
                <w:color w:val="auto"/>
                <w:sz w:val="21"/>
              </w:rPr>
            </w:pPr>
          </w:p>
          <w:p w14:paraId="7C332E05">
            <w:pPr>
              <w:spacing w:line="287" w:lineRule="auto"/>
              <w:rPr>
                <w:rFonts w:ascii="Times New Roman" w:hAnsi="Times New Roman" w:cs="Times New Roman"/>
                <w:color w:val="auto"/>
                <w:sz w:val="21"/>
              </w:rPr>
            </w:pPr>
          </w:p>
          <w:p w14:paraId="177F678A">
            <w:pPr>
              <w:pStyle w:val="39"/>
              <w:spacing w:before="78" w:line="219" w:lineRule="auto"/>
              <w:ind w:left="123"/>
              <w:rPr>
                <w:rFonts w:ascii="Times New Roman" w:hAnsi="Times New Roman" w:cs="Times New Roman"/>
                <w:color w:val="auto"/>
                <w:sz w:val="24"/>
                <w:szCs w:val="24"/>
              </w:rPr>
            </w:pPr>
            <w:r>
              <w:rPr>
                <w:rFonts w:ascii="Times New Roman" w:hAnsi="Times New Roman" w:cs="Times New Roman"/>
                <w:color w:val="auto"/>
                <w:spacing w:val="3"/>
                <w:sz w:val="24"/>
                <w:szCs w:val="24"/>
              </w:rPr>
              <w:t>身份证</w:t>
            </w:r>
          </w:p>
        </w:tc>
        <w:tc>
          <w:tcPr>
            <w:tcW w:w="749" w:type="dxa"/>
            <w:vMerge w:val="restart"/>
            <w:tcBorders>
              <w:bottom w:val="nil"/>
            </w:tcBorders>
          </w:tcPr>
          <w:p w14:paraId="358E9E28">
            <w:pPr>
              <w:spacing w:line="288" w:lineRule="auto"/>
              <w:rPr>
                <w:rFonts w:ascii="Times New Roman" w:hAnsi="Times New Roman" w:cs="Times New Roman"/>
                <w:color w:val="auto"/>
                <w:sz w:val="21"/>
              </w:rPr>
            </w:pPr>
          </w:p>
          <w:p w14:paraId="5BD36CC7">
            <w:pPr>
              <w:spacing w:line="288" w:lineRule="auto"/>
              <w:rPr>
                <w:rFonts w:ascii="Times New Roman" w:hAnsi="Times New Roman" w:cs="Times New Roman"/>
                <w:color w:val="auto"/>
                <w:sz w:val="21"/>
              </w:rPr>
            </w:pPr>
          </w:p>
          <w:p w14:paraId="6CDF4D22">
            <w:pPr>
              <w:pStyle w:val="39"/>
              <w:spacing w:before="78" w:line="221" w:lineRule="auto"/>
              <w:ind w:left="134"/>
              <w:rPr>
                <w:rFonts w:ascii="Times New Roman" w:hAnsi="Times New Roman" w:cs="Times New Roman"/>
                <w:color w:val="auto"/>
                <w:sz w:val="24"/>
                <w:szCs w:val="24"/>
              </w:rPr>
            </w:pPr>
            <w:r>
              <w:rPr>
                <w:rFonts w:ascii="Times New Roman" w:hAnsi="Times New Roman" w:cs="Times New Roman"/>
                <w:color w:val="auto"/>
                <w:spacing w:val="6"/>
                <w:sz w:val="24"/>
                <w:szCs w:val="24"/>
              </w:rPr>
              <w:t>职称</w:t>
            </w:r>
          </w:p>
        </w:tc>
        <w:tc>
          <w:tcPr>
            <w:tcW w:w="3096" w:type="dxa"/>
            <w:gridSpan w:val="4"/>
          </w:tcPr>
          <w:p w14:paraId="11C9BFE6">
            <w:pPr>
              <w:spacing w:line="265" w:lineRule="auto"/>
              <w:rPr>
                <w:rFonts w:ascii="Times New Roman" w:hAnsi="Times New Roman" w:cs="Times New Roman"/>
                <w:color w:val="auto"/>
                <w:sz w:val="21"/>
              </w:rPr>
            </w:pPr>
          </w:p>
          <w:p w14:paraId="4EB7D6D6">
            <w:pPr>
              <w:pStyle w:val="39"/>
              <w:spacing w:before="78" w:line="219" w:lineRule="auto"/>
              <w:ind w:left="855"/>
              <w:rPr>
                <w:rFonts w:ascii="Times New Roman" w:hAnsi="Times New Roman" w:cs="Times New Roman"/>
                <w:color w:val="auto"/>
                <w:sz w:val="24"/>
                <w:szCs w:val="24"/>
              </w:rPr>
            </w:pPr>
            <w:r>
              <w:rPr>
                <w:rFonts w:ascii="Times New Roman" w:hAnsi="Times New Roman" w:cs="Times New Roman"/>
                <w:color w:val="auto"/>
                <w:spacing w:val="4"/>
                <w:sz w:val="24"/>
                <w:szCs w:val="24"/>
              </w:rPr>
              <w:t>上岗资格证明</w:t>
            </w:r>
          </w:p>
        </w:tc>
        <w:tc>
          <w:tcPr>
            <w:tcW w:w="1054" w:type="dxa"/>
            <w:vMerge w:val="restart"/>
            <w:tcBorders>
              <w:bottom w:val="nil"/>
            </w:tcBorders>
          </w:tcPr>
          <w:p w14:paraId="04F7B07D">
            <w:pPr>
              <w:spacing w:line="265" w:lineRule="auto"/>
              <w:rPr>
                <w:rFonts w:ascii="Times New Roman" w:hAnsi="Times New Roman" w:cs="Times New Roman"/>
                <w:color w:val="auto"/>
                <w:sz w:val="21"/>
              </w:rPr>
            </w:pPr>
          </w:p>
          <w:p w14:paraId="57E0351F">
            <w:pPr>
              <w:pStyle w:val="39"/>
              <w:spacing w:before="78" w:line="225" w:lineRule="auto"/>
              <w:ind w:left="110" w:right="84" w:firstLine="10"/>
              <w:jc w:val="center"/>
              <w:rPr>
                <w:rFonts w:ascii="Times New Roman" w:hAnsi="Times New Roman" w:cs="Times New Roman"/>
                <w:color w:val="auto"/>
                <w:sz w:val="24"/>
                <w:szCs w:val="24"/>
              </w:rPr>
            </w:pPr>
            <w:r>
              <w:rPr>
                <w:rFonts w:ascii="Times New Roman" w:hAnsi="Times New Roman" w:cs="Times New Roman"/>
                <w:color w:val="auto"/>
                <w:spacing w:val="3"/>
                <w:sz w:val="24"/>
                <w:szCs w:val="24"/>
              </w:rPr>
              <w:t>到位率</w:t>
            </w:r>
            <w:r>
              <w:rPr>
                <w:rFonts w:ascii="Times New Roman" w:hAnsi="Times New Roman" w:cs="Times New Roman"/>
                <w:color w:val="auto"/>
                <w:spacing w:val="1"/>
                <w:sz w:val="24"/>
                <w:szCs w:val="24"/>
              </w:rPr>
              <w:t xml:space="preserve"> </w:t>
            </w:r>
            <w:r>
              <w:rPr>
                <w:rFonts w:ascii="Times New Roman" w:hAnsi="Times New Roman" w:cs="Times New Roman"/>
                <w:color w:val="auto"/>
                <w:spacing w:val="-3"/>
                <w:sz w:val="24"/>
                <w:szCs w:val="24"/>
              </w:rPr>
              <w:t>承诺</w:t>
            </w:r>
          </w:p>
        </w:tc>
      </w:tr>
      <w:tr w14:paraId="59949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982" w:type="dxa"/>
            <w:gridSpan w:val="2"/>
            <w:vMerge w:val="continue"/>
            <w:tcBorders>
              <w:top w:val="nil"/>
            </w:tcBorders>
          </w:tcPr>
          <w:p w14:paraId="15F26DA6">
            <w:pPr>
              <w:rPr>
                <w:rFonts w:ascii="Times New Roman" w:hAnsi="Times New Roman" w:cs="Times New Roman"/>
                <w:color w:val="auto"/>
                <w:sz w:val="21"/>
              </w:rPr>
            </w:pPr>
          </w:p>
        </w:tc>
        <w:tc>
          <w:tcPr>
            <w:tcW w:w="789" w:type="dxa"/>
            <w:vMerge w:val="continue"/>
            <w:tcBorders>
              <w:top w:val="nil"/>
            </w:tcBorders>
          </w:tcPr>
          <w:p w14:paraId="69BB24B5">
            <w:pPr>
              <w:rPr>
                <w:rFonts w:ascii="Times New Roman" w:hAnsi="Times New Roman" w:cs="Times New Roman"/>
                <w:color w:val="auto"/>
                <w:sz w:val="21"/>
              </w:rPr>
            </w:pPr>
          </w:p>
        </w:tc>
        <w:tc>
          <w:tcPr>
            <w:tcW w:w="949" w:type="dxa"/>
            <w:vMerge w:val="continue"/>
            <w:tcBorders>
              <w:top w:val="nil"/>
            </w:tcBorders>
          </w:tcPr>
          <w:p w14:paraId="3A887DA1">
            <w:pPr>
              <w:rPr>
                <w:rFonts w:ascii="Times New Roman" w:hAnsi="Times New Roman" w:cs="Times New Roman"/>
                <w:color w:val="auto"/>
                <w:sz w:val="21"/>
              </w:rPr>
            </w:pPr>
          </w:p>
        </w:tc>
        <w:tc>
          <w:tcPr>
            <w:tcW w:w="749" w:type="dxa"/>
            <w:vMerge w:val="continue"/>
            <w:tcBorders>
              <w:top w:val="nil"/>
            </w:tcBorders>
          </w:tcPr>
          <w:p w14:paraId="0E9B1D7A">
            <w:pPr>
              <w:rPr>
                <w:rFonts w:ascii="Times New Roman" w:hAnsi="Times New Roman" w:cs="Times New Roman"/>
                <w:color w:val="auto"/>
                <w:sz w:val="21"/>
              </w:rPr>
            </w:pPr>
          </w:p>
        </w:tc>
        <w:tc>
          <w:tcPr>
            <w:tcW w:w="809" w:type="dxa"/>
          </w:tcPr>
          <w:p w14:paraId="5009474A">
            <w:pPr>
              <w:pStyle w:val="39"/>
              <w:spacing w:before="60" w:line="211" w:lineRule="auto"/>
              <w:ind w:left="155" w:right="147"/>
              <w:rPr>
                <w:rFonts w:ascii="Times New Roman" w:hAnsi="Times New Roman" w:cs="Times New Roman"/>
                <w:color w:val="auto"/>
                <w:sz w:val="24"/>
                <w:szCs w:val="24"/>
              </w:rPr>
            </w:pPr>
            <w:r>
              <w:rPr>
                <w:rFonts w:ascii="Times New Roman" w:hAnsi="Times New Roman" w:cs="Times New Roman"/>
                <w:color w:val="auto"/>
                <w:spacing w:val="7"/>
                <w:sz w:val="24"/>
                <w:szCs w:val="24"/>
              </w:rPr>
              <w:t>证书</w:t>
            </w:r>
            <w:r>
              <w:rPr>
                <w:rFonts w:ascii="Times New Roman" w:hAnsi="Times New Roman" w:cs="Times New Roman"/>
                <w:color w:val="auto"/>
                <w:sz w:val="24"/>
                <w:szCs w:val="24"/>
              </w:rPr>
              <w:t xml:space="preserve"> </w:t>
            </w:r>
            <w:r>
              <w:rPr>
                <w:rFonts w:ascii="Times New Roman" w:hAnsi="Times New Roman" w:cs="Times New Roman"/>
                <w:color w:val="auto"/>
                <w:spacing w:val="6"/>
                <w:sz w:val="24"/>
                <w:szCs w:val="24"/>
              </w:rPr>
              <w:t>名称</w:t>
            </w:r>
          </w:p>
        </w:tc>
        <w:tc>
          <w:tcPr>
            <w:tcW w:w="749" w:type="dxa"/>
          </w:tcPr>
          <w:p w14:paraId="0AB6B69A">
            <w:pPr>
              <w:pStyle w:val="39"/>
              <w:spacing w:before="191" w:line="220" w:lineRule="auto"/>
              <w:ind w:left="116"/>
              <w:rPr>
                <w:rFonts w:ascii="Times New Roman" w:hAnsi="Times New Roman" w:cs="Times New Roman"/>
                <w:color w:val="auto"/>
                <w:sz w:val="24"/>
                <w:szCs w:val="24"/>
              </w:rPr>
            </w:pPr>
            <w:r>
              <w:rPr>
                <w:rFonts w:ascii="Times New Roman" w:hAnsi="Times New Roman" w:cs="Times New Roman"/>
                <w:color w:val="auto"/>
                <w:spacing w:val="9"/>
                <w:sz w:val="24"/>
                <w:szCs w:val="24"/>
              </w:rPr>
              <w:t>级别</w:t>
            </w:r>
          </w:p>
        </w:tc>
        <w:tc>
          <w:tcPr>
            <w:tcW w:w="699" w:type="dxa"/>
          </w:tcPr>
          <w:p w14:paraId="4355BAD3">
            <w:pPr>
              <w:pStyle w:val="39"/>
              <w:spacing w:before="192" w:line="221" w:lineRule="auto"/>
              <w:ind w:left="117"/>
              <w:rPr>
                <w:rFonts w:ascii="Times New Roman" w:hAnsi="Times New Roman" w:cs="Times New Roman"/>
                <w:color w:val="auto"/>
                <w:sz w:val="24"/>
                <w:szCs w:val="24"/>
              </w:rPr>
            </w:pPr>
            <w:r>
              <w:rPr>
                <w:rFonts w:ascii="Times New Roman" w:hAnsi="Times New Roman" w:cs="Times New Roman"/>
                <w:color w:val="auto"/>
                <w:spacing w:val="7"/>
                <w:sz w:val="24"/>
                <w:szCs w:val="24"/>
              </w:rPr>
              <w:t>证号</w:t>
            </w:r>
          </w:p>
        </w:tc>
        <w:tc>
          <w:tcPr>
            <w:tcW w:w="839" w:type="dxa"/>
          </w:tcPr>
          <w:p w14:paraId="5770CE54">
            <w:pPr>
              <w:pStyle w:val="39"/>
              <w:spacing w:before="191" w:line="220" w:lineRule="auto"/>
              <w:ind w:left="189"/>
              <w:rPr>
                <w:rFonts w:ascii="Times New Roman" w:hAnsi="Times New Roman" w:cs="Times New Roman"/>
                <w:color w:val="auto"/>
                <w:sz w:val="24"/>
                <w:szCs w:val="24"/>
              </w:rPr>
            </w:pPr>
            <w:r>
              <w:rPr>
                <w:rFonts w:ascii="Times New Roman" w:hAnsi="Times New Roman" w:cs="Times New Roman"/>
                <w:color w:val="auto"/>
                <w:spacing w:val="-3"/>
                <w:sz w:val="24"/>
                <w:szCs w:val="24"/>
              </w:rPr>
              <w:t>专业</w:t>
            </w:r>
          </w:p>
        </w:tc>
        <w:tc>
          <w:tcPr>
            <w:tcW w:w="1054" w:type="dxa"/>
            <w:vMerge w:val="continue"/>
            <w:tcBorders>
              <w:top w:val="nil"/>
            </w:tcBorders>
          </w:tcPr>
          <w:p w14:paraId="5A9B2A61">
            <w:pPr>
              <w:rPr>
                <w:rFonts w:ascii="Times New Roman" w:hAnsi="Times New Roman" w:cs="Times New Roman"/>
                <w:color w:val="auto"/>
                <w:sz w:val="21"/>
              </w:rPr>
            </w:pPr>
          </w:p>
        </w:tc>
      </w:tr>
      <w:tr w14:paraId="74147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684" w:type="dxa"/>
            <w:vMerge w:val="restart"/>
            <w:tcBorders>
              <w:bottom w:val="nil"/>
            </w:tcBorders>
            <w:textDirection w:val="tbRlV"/>
          </w:tcPr>
          <w:p w14:paraId="2319787B">
            <w:pPr>
              <w:pStyle w:val="39"/>
              <w:spacing w:before="218" w:line="202" w:lineRule="auto"/>
              <w:ind w:left="739"/>
              <w:rPr>
                <w:rFonts w:ascii="Times New Roman" w:hAnsi="Times New Roman" w:cs="Times New Roman"/>
                <w:color w:val="auto"/>
                <w:sz w:val="24"/>
                <w:szCs w:val="24"/>
              </w:rPr>
            </w:pPr>
            <w:r>
              <w:rPr>
                <w:rFonts w:ascii="Times New Roman" w:hAnsi="Times New Roman" w:cs="Times New Roman"/>
                <w:color w:val="auto"/>
                <w:sz w:val="24"/>
                <w:szCs w:val="24"/>
              </w:rPr>
              <w:t>关</w:t>
            </w:r>
            <w:r>
              <w:rPr>
                <w:rFonts w:ascii="Times New Roman" w:hAnsi="Times New Roman" w:cs="Times New Roman"/>
                <w:color w:val="auto"/>
                <w:spacing w:val="112"/>
                <w:sz w:val="24"/>
                <w:szCs w:val="24"/>
              </w:rPr>
              <w:t xml:space="preserve"> </w:t>
            </w:r>
            <w:r>
              <w:rPr>
                <w:rFonts w:ascii="Times New Roman" w:hAnsi="Times New Roman" w:cs="Times New Roman"/>
                <w:color w:val="auto"/>
                <w:sz w:val="24"/>
                <w:szCs w:val="24"/>
              </w:rPr>
              <w:t>键</w:t>
            </w:r>
            <w:r>
              <w:rPr>
                <w:rFonts w:ascii="Times New Roman" w:hAnsi="Times New Roman" w:cs="Times New Roman"/>
                <w:color w:val="auto"/>
                <w:spacing w:val="112"/>
                <w:sz w:val="24"/>
                <w:szCs w:val="24"/>
              </w:rPr>
              <w:t xml:space="preserve"> </w:t>
            </w:r>
            <w:r>
              <w:rPr>
                <w:rFonts w:ascii="Times New Roman" w:hAnsi="Times New Roman" w:cs="Times New Roman"/>
                <w:color w:val="auto"/>
                <w:sz w:val="24"/>
                <w:szCs w:val="24"/>
              </w:rPr>
              <w:t>岗</w:t>
            </w:r>
            <w:r>
              <w:rPr>
                <w:rFonts w:ascii="Times New Roman" w:hAnsi="Times New Roman" w:cs="Times New Roman"/>
                <w:color w:val="auto"/>
                <w:spacing w:val="113"/>
                <w:sz w:val="24"/>
                <w:szCs w:val="24"/>
              </w:rPr>
              <w:t xml:space="preserve"> </w:t>
            </w:r>
            <w:r>
              <w:rPr>
                <w:rFonts w:ascii="Times New Roman" w:hAnsi="Times New Roman" w:cs="Times New Roman"/>
                <w:color w:val="auto"/>
                <w:sz w:val="24"/>
                <w:szCs w:val="24"/>
              </w:rPr>
              <w:t>位</w:t>
            </w:r>
          </w:p>
        </w:tc>
        <w:tc>
          <w:tcPr>
            <w:tcW w:w="2298" w:type="dxa"/>
            <w:vAlign w:val="center"/>
          </w:tcPr>
          <w:p w14:paraId="73EBAADA">
            <w:pPr>
              <w:pStyle w:val="39"/>
              <w:spacing w:before="52" w:line="337" w:lineRule="auto"/>
              <w:ind w:left="240" w:leftChars="100" w:right="128"/>
              <w:jc w:val="center"/>
              <w:rPr>
                <w:rFonts w:ascii="Times New Roman" w:hAnsi="Times New Roman" w:cs="Times New Roman"/>
                <w:color w:val="auto"/>
                <w:sz w:val="24"/>
                <w:szCs w:val="24"/>
              </w:rPr>
            </w:pPr>
            <w:r>
              <w:rPr>
                <w:rFonts w:ascii="Times New Roman" w:hAnsi="Times New Roman" w:cs="Times New Roman"/>
                <w:color w:val="auto"/>
                <w:sz w:val="24"/>
                <w:szCs w:val="24"/>
              </w:rPr>
              <w:t>项目</w:t>
            </w:r>
            <w:r>
              <w:rPr>
                <w:rFonts w:ascii="Times New Roman" w:hAnsi="Times New Roman" w:cs="Times New Roman"/>
                <w:color w:val="auto"/>
                <w:sz w:val="24"/>
                <w:szCs w:val="24"/>
                <w:lang w:eastAsia="zh-CN"/>
              </w:rPr>
              <w:t>负责人</w:t>
            </w:r>
          </w:p>
        </w:tc>
        <w:tc>
          <w:tcPr>
            <w:tcW w:w="789" w:type="dxa"/>
          </w:tcPr>
          <w:p w14:paraId="090E3FC5">
            <w:pPr>
              <w:rPr>
                <w:rFonts w:ascii="Times New Roman" w:hAnsi="Times New Roman" w:cs="Times New Roman"/>
                <w:color w:val="auto"/>
                <w:sz w:val="21"/>
              </w:rPr>
            </w:pPr>
          </w:p>
        </w:tc>
        <w:tc>
          <w:tcPr>
            <w:tcW w:w="949" w:type="dxa"/>
          </w:tcPr>
          <w:p w14:paraId="0C193B52">
            <w:pPr>
              <w:rPr>
                <w:rFonts w:ascii="Times New Roman" w:hAnsi="Times New Roman" w:cs="Times New Roman"/>
                <w:color w:val="auto"/>
                <w:sz w:val="21"/>
              </w:rPr>
            </w:pPr>
          </w:p>
        </w:tc>
        <w:tc>
          <w:tcPr>
            <w:tcW w:w="749" w:type="dxa"/>
          </w:tcPr>
          <w:p w14:paraId="5D2C1FDC">
            <w:pPr>
              <w:rPr>
                <w:rFonts w:ascii="Times New Roman" w:hAnsi="Times New Roman" w:cs="Times New Roman"/>
                <w:color w:val="auto"/>
                <w:sz w:val="21"/>
              </w:rPr>
            </w:pPr>
          </w:p>
        </w:tc>
        <w:tc>
          <w:tcPr>
            <w:tcW w:w="809" w:type="dxa"/>
          </w:tcPr>
          <w:p w14:paraId="3C99D78C">
            <w:pPr>
              <w:rPr>
                <w:rFonts w:ascii="Times New Roman" w:hAnsi="Times New Roman" w:cs="Times New Roman"/>
                <w:color w:val="auto"/>
                <w:sz w:val="21"/>
              </w:rPr>
            </w:pPr>
          </w:p>
        </w:tc>
        <w:tc>
          <w:tcPr>
            <w:tcW w:w="749" w:type="dxa"/>
          </w:tcPr>
          <w:p w14:paraId="6C0C2B46">
            <w:pPr>
              <w:rPr>
                <w:rFonts w:ascii="Times New Roman" w:hAnsi="Times New Roman" w:cs="Times New Roman"/>
                <w:color w:val="auto"/>
                <w:sz w:val="21"/>
              </w:rPr>
            </w:pPr>
          </w:p>
        </w:tc>
        <w:tc>
          <w:tcPr>
            <w:tcW w:w="699" w:type="dxa"/>
          </w:tcPr>
          <w:p w14:paraId="72C6E8C3">
            <w:pPr>
              <w:rPr>
                <w:rFonts w:ascii="Times New Roman" w:hAnsi="Times New Roman" w:cs="Times New Roman"/>
                <w:color w:val="auto"/>
                <w:sz w:val="21"/>
              </w:rPr>
            </w:pPr>
          </w:p>
        </w:tc>
        <w:tc>
          <w:tcPr>
            <w:tcW w:w="839" w:type="dxa"/>
          </w:tcPr>
          <w:p w14:paraId="6E1BD71D">
            <w:pPr>
              <w:rPr>
                <w:rFonts w:ascii="Times New Roman" w:hAnsi="Times New Roman" w:cs="Times New Roman"/>
                <w:color w:val="auto"/>
                <w:sz w:val="21"/>
              </w:rPr>
            </w:pPr>
          </w:p>
        </w:tc>
        <w:tc>
          <w:tcPr>
            <w:tcW w:w="1054" w:type="dxa"/>
          </w:tcPr>
          <w:p w14:paraId="60147081">
            <w:pPr>
              <w:rPr>
                <w:rFonts w:ascii="Times New Roman" w:hAnsi="Times New Roman" w:cs="Times New Roman"/>
                <w:color w:val="auto"/>
                <w:sz w:val="21"/>
              </w:rPr>
            </w:pPr>
          </w:p>
        </w:tc>
      </w:tr>
      <w:tr w14:paraId="39522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84" w:type="dxa"/>
            <w:vMerge w:val="continue"/>
            <w:tcBorders>
              <w:top w:val="nil"/>
              <w:bottom w:val="nil"/>
            </w:tcBorders>
            <w:textDirection w:val="tbRlV"/>
          </w:tcPr>
          <w:p w14:paraId="09CDBA0A">
            <w:pPr>
              <w:rPr>
                <w:rFonts w:ascii="Times New Roman" w:hAnsi="Times New Roman" w:cs="Times New Roman"/>
                <w:color w:val="auto"/>
                <w:sz w:val="21"/>
              </w:rPr>
            </w:pPr>
          </w:p>
        </w:tc>
        <w:tc>
          <w:tcPr>
            <w:tcW w:w="2298" w:type="dxa"/>
            <w:vAlign w:val="center"/>
          </w:tcPr>
          <w:p w14:paraId="1F4EB440">
            <w:pPr>
              <w:pStyle w:val="39"/>
              <w:spacing w:before="42" w:line="341" w:lineRule="auto"/>
              <w:ind w:right="128"/>
              <w:jc w:val="center"/>
              <w:rPr>
                <w:rFonts w:ascii="Times New Roman" w:hAnsi="Times New Roman" w:cs="Times New Roman"/>
                <w:color w:val="auto"/>
                <w:sz w:val="24"/>
                <w:szCs w:val="24"/>
              </w:rPr>
            </w:pPr>
            <w:r>
              <w:rPr>
                <w:rFonts w:ascii="Times New Roman" w:hAnsi="Times New Roman" w:cs="Times New Roman"/>
                <w:color w:val="auto"/>
                <w:sz w:val="24"/>
                <w:szCs w:val="24"/>
              </w:rPr>
              <w:t>技术负责人</w:t>
            </w:r>
          </w:p>
        </w:tc>
        <w:tc>
          <w:tcPr>
            <w:tcW w:w="789" w:type="dxa"/>
          </w:tcPr>
          <w:p w14:paraId="74618176">
            <w:pPr>
              <w:rPr>
                <w:rFonts w:ascii="Times New Roman" w:hAnsi="Times New Roman" w:cs="Times New Roman"/>
                <w:color w:val="auto"/>
                <w:sz w:val="21"/>
              </w:rPr>
            </w:pPr>
          </w:p>
        </w:tc>
        <w:tc>
          <w:tcPr>
            <w:tcW w:w="949" w:type="dxa"/>
          </w:tcPr>
          <w:p w14:paraId="74E3AE93">
            <w:pPr>
              <w:rPr>
                <w:rFonts w:ascii="Times New Roman" w:hAnsi="Times New Roman" w:cs="Times New Roman"/>
                <w:color w:val="auto"/>
                <w:sz w:val="21"/>
              </w:rPr>
            </w:pPr>
          </w:p>
        </w:tc>
        <w:tc>
          <w:tcPr>
            <w:tcW w:w="749" w:type="dxa"/>
          </w:tcPr>
          <w:p w14:paraId="297BA661">
            <w:pPr>
              <w:rPr>
                <w:rFonts w:ascii="Times New Roman" w:hAnsi="Times New Roman" w:cs="Times New Roman"/>
                <w:color w:val="auto"/>
                <w:sz w:val="21"/>
              </w:rPr>
            </w:pPr>
          </w:p>
        </w:tc>
        <w:tc>
          <w:tcPr>
            <w:tcW w:w="809" w:type="dxa"/>
          </w:tcPr>
          <w:p w14:paraId="16C59C94">
            <w:pPr>
              <w:rPr>
                <w:rFonts w:ascii="Times New Roman" w:hAnsi="Times New Roman" w:cs="Times New Roman"/>
                <w:color w:val="auto"/>
                <w:sz w:val="21"/>
              </w:rPr>
            </w:pPr>
          </w:p>
        </w:tc>
        <w:tc>
          <w:tcPr>
            <w:tcW w:w="749" w:type="dxa"/>
          </w:tcPr>
          <w:p w14:paraId="497CEE78">
            <w:pPr>
              <w:rPr>
                <w:rFonts w:ascii="Times New Roman" w:hAnsi="Times New Roman" w:cs="Times New Roman"/>
                <w:color w:val="auto"/>
                <w:sz w:val="21"/>
              </w:rPr>
            </w:pPr>
          </w:p>
        </w:tc>
        <w:tc>
          <w:tcPr>
            <w:tcW w:w="699" w:type="dxa"/>
          </w:tcPr>
          <w:p w14:paraId="6BCC338F">
            <w:pPr>
              <w:rPr>
                <w:rFonts w:ascii="Times New Roman" w:hAnsi="Times New Roman" w:cs="Times New Roman"/>
                <w:color w:val="auto"/>
                <w:sz w:val="21"/>
              </w:rPr>
            </w:pPr>
          </w:p>
        </w:tc>
        <w:tc>
          <w:tcPr>
            <w:tcW w:w="839" w:type="dxa"/>
          </w:tcPr>
          <w:p w14:paraId="7F56397C">
            <w:pPr>
              <w:rPr>
                <w:rFonts w:ascii="Times New Roman" w:hAnsi="Times New Roman" w:cs="Times New Roman"/>
                <w:color w:val="auto"/>
                <w:sz w:val="21"/>
              </w:rPr>
            </w:pPr>
          </w:p>
        </w:tc>
        <w:tc>
          <w:tcPr>
            <w:tcW w:w="1054" w:type="dxa"/>
          </w:tcPr>
          <w:p w14:paraId="05264A87">
            <w:pPr>
              <w:rPr>
                <w:rFonts w:ascii="Times New Roman" w:hAnsi="Times New Roman" w:cs="Times New Roman"/>
                <w:color w:val="auto"/>
                <w:sz w:val="21"/>
              </w:rPr>
            </w:pPr>
          </w:p>
        </w:tc>
      </w:tr>
      <w:tr w14:paraId="5F831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trPr>
        <w:tc>
          <w:tcPr>
            <w:tcW w:w="684" w:type="dxa"/>
            <w:vMerge w:val="continue"/>
            <w:tcBorders>
              <w:top w:val="nil"/>
              <w:bottom w:val="nil"/>
            </w:tcBorders>
            <w:textDirection w:val="tbRlV"/>
          </w:tcPr>
          <w:p w14:paraId="791A775E">
            <w:pPr>
              <w:rPr>
                <w:rFonts w:ascii="Times New Roman" w:hAnsi="Times New Roman" w:cs="Times New Roman"/>
                <w:color w:val="auto"/>
                <w:sz w:val="21"/>
              </w:rPr>
            </w:pPr>
          </w:p>
        </w:tc>
        <w:tc>
          <w:tcPr>
            <w:tcW w:w="2298" w:type="dxa"/>
          </w:tcPr>
          <w:p w14:paraId="0F4D658B">
            <w:pPr>
              <w:pStyle w:val="39"/>
              <w:spacing w:before="114" w:line="220" w:lineRule="auto"/>
              <w:jc w:val="center"/>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施工员</w:t>
            </w:r>
          </w:p>
        </w:tc>
        <w:tc>
          <w:tcPr>
            <w:tcW w:w="789" w:type="dxa"/>
          </w:tcPr>
          <w:p w14:paraId="1C1A2F2A">
            <w:pPr>
              <w:rPr>
                <w:rFonts w:ascii="Times New Roman" w:hAnsi="Times New Roman" w:cs="Times New Roman"/>
                <w:color w:val="auto"/>
                <w:sz w:val="21"/>
              </w:rPr>
            </w:pPr>
          </w:p>
        </w:tc>
        <w:tc>
          <w:tcPr>
            <w:tcW w:w="949" w:type="dxa"/>
          </w:tcPr>
          <w:p w14:paraId="294F6237">
            <w:pPr>
              <w:rPr>
                <w:rFonts w:ascii="Times New Roman" w:hAnsi="Times New Roman" w:cs="Times New Roman"/>
                <w:color w:val="auto"/>
                <w:sz w:val="21"/>
              </w:rPr>
            </w:pPr>
          </w:p>
        </w:tc>
        <w:tc>
          <w:tcPr>
            <w:tcW w:w="749" w:type="dxa"/>
          </w:tcPr>
          <w:p w14:paraId="44D502B8">
            <w:pPr>
              <w:rPr>
                <w:rFonts w:ascii="Times New Roman" w:hAnsi="Times New Roman" w:cs="Times New Roman"/>
                <w:color w:val="auto"/>
                <w:sz w:val="21"/>
              </w:rPr>
            </w:pPr>
          </w:p>
        </w:tc>
        <w:tc>
          <w:tcPr>
            <w:tcW w:w="809" w:type="dxa"/>
          </w:tcPr>
          <w:p w14:paraId="420C940C">
            <w:pPr>
              <w:rPr>
                <w:rFonts w:ascii="Times New Roman" w:hAnsi="Times New Roman" w:cs="Times New Roman"/>
                <w:color w:val="auto"/>
                <w:sz w:val="21"/>
              </w:rPr>
            </w:pPr>
          </w:p>
        </w:tc>
        <w:tc>
          <w:tcPr>
            <w:tcW w:w="749" w:type="dxa"/>
          </w:tcPr>
          <w:p w14:paraId="0D63E0AC">
            <w:pPr>
              <w:rPr>
                <w:rFonts w:ascii="Times New Roman" w:hAnsi="Times New Roman" w:cs="Times New Roman"/>
                <w:color w:val="auto"/>
                <w:sz w:val="21"/>
              </w:rPr>
            </w:pPr>
          </w:p>
        </w:tc>
        <w:tc>
          <w:tcPr>
            <w:tcW w:w="699" w:type="dxa"/>
          </w:tcPr>
          <w:p w14:paraId="76A8BE67">
            <w:pPr>
              <w:rPr>
                <w:rFonts w:ascii="Times New Roman" w:hAnsi="Times New Roman" w:cs="Times New Roman"/>
                <w:color w:val="auto"/>
                <w:sz w:val="21"/>
              </w:rPr>
            </w:pPr>
          </w:p>
        </w:tc>
        <w:tc>
          <w:tcPr>
            <w:tcW w:w="839" w:type="dxa"/>
          </w:tcPr>
          <w:p w14:paraId="25E2FC89">
            <w:pPr>
              <w:rPr>
                <w:rFonts w:ascii="Times New Roman" w:hAnsi="Times New Roman" w:cs="Times New Roman"/>
                <w:color w:val="auto"/>
                <w:sz w:val="21"/>
              </w:rPr>
            </w:pPr>
          </w:p>
        </w:tc>
        <w:tc>
          <w:tcPr>
            <w:tcW w:w="1054" w:type="dxa"/>
          </w:tcPr>
          <w:p w14:paraId="145D76C3">
            <w:pPr>
              <w:rPr>
                <w:rFonts w:ascii="Times New Roman" w:hAnsi="Times New Roman" w:cs="Times New Roman"/>
                <w:color w:val="auto"/>
                <w:sz w:val="21"/>
              </w:rPr>
            </w:pPr>
          </w:p>
        </w:tc>
      </w:tr>
      <w:tr w14:paraId="26909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84" w:type="dxa"/>
            <w:vMerge w:val="continue"/>
            <w:tcBorders>
              <w:top w:val="nil"/>
              <w:bottom w:val="nil"/>
            </w:tcBorders>
            <w:textDirection w:val="tbRlV"/>
          </w:tcPr>
          <w:p w14:paraId="0E17C12B">
            <w:pPr>
              <w:rPr>
                <w:rFonts w:ascii="Times New Roman" w:hAnsi="Times New Roman" w:cs="Times New Roman"/>
                <w:color w:val="auto"/>
                <w:sz w:val="21"/>
              </w:rPr>
            </w:pPr>
          </w:p>
        </w:tc>
        <w:tc>
          <w:tcPr>
            <w:tcW w:w="2298" w:type="dxa"/>
          </w:tcPr>
          <w:p w14:paraId="52A391C3">
            <w:pPr>
              <w:pStyle w:val="39"/>
              <w:spacing w:before="114" w:line="22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质量员</w:t>
            </w:r>
          </w:p>
        </w:tc>
        <w:tc>
          <w:tcPr>
            <w:tcW w:w="789" w:type="dxa"/>
          </w:tcPr>
          <w:p w14:paraId="15DF0ED9">
            <w:pPr>
              <w:rPr>
                <w:rFonts w:ascii="Times New Roman" w:hAnsi="Times New Roman" w:cs="Times New Roman"/>
                <w:color w:val="auto"/>
                <w:sz w:val="21"/>
              </w:rPr>
            </w:pPr>
          </w:p>
        </w:tc>
        <w:tc>
          <w:tcPr>
            <w:tcW w:w="949" w:type="dxa"/>
          </w:tcPr>
          <w:p w14:paraId="09BDF50C">
            <w:pPr>
              <w:rPr>
                <w:rFonts w:ascii="Times New Roman" w:hAnsi="Times New Roman" w:cs="Times New Roman"/>
                <w:color w:val="auto"/>
                <w:sz w:val="21"/>
              </w:rPr>
            </w:pPr>
          </w:p>
        </w:tc>
        <w:tc>
          <w:tcPr>
            <w:tcW w:w="749" w:type="dxa"/>
          </w:tcPr>
          <w:p w14:paraId="49557658">
            <w:pPr>
              <w:rPr>
                <w:rFonts w:ascii="Times New Roman" w:hAnsi="Times New Roman" w:cs="Times New Roman"/>
                <w:color w:val="auto"/>
                <w:sz w:val="21"/>
              </w:rPr>
            </w:pPr>
          </w:p>
        </w:tc>
        <w:tc>
          <w:tcPr>
            <w:tcW w:w="809" w:type="dxa"/>
          </w:tcPr>
          <w:p w14:paraId="1544E5C3">
            <w:pPr>
              <w:rPr>
                <w:rFonts w:ascii="Times New Roman" w:hAnsi="Times New Roman" w:cs="Times New Roman"/>
                <w:color w:val="auto"/>
                <w:sz w:val="21"/>
              </w:rPr>
            </w:pPr>
          </w:p>
        </w:tc>
        <w:tc>
          <w:tcPr>
            <w:tcW w:w="749" w:type="dxa"/>
          </w:tcPr>
          <w:p w14:paraId="18E2131B">
            <w:pPr>
              <w:rPr>
                <w:rFonts w:ascii="Times New Roman" w:hAnsi="Times New Roman" w:cs="Times New Roman"/>
                <w:color w:val="auto"/>
                <w:sz w:val="21"/>
              </w:rPr>
            </w:pPr>
          </w:p>
        </w:tc>
        <w:tc>
          <w:tcPr>
            <w:tcW w:w="699" w:type="dxa"/>
          </w:tcPr>
          <w:p w14:paraId="70854E38">
            <w:pPr>
              <w:rPr>
                <w:rFonts w:ascii="Times New Roman" w:hAnsi="Times New Roman" w:cs="Times New Roman"/>
                <w:color w:val="auto"/>
                <w:sz w:val="21"/>
              </w:rPr>
            </w:pPr>
          </w:p>
        </w:tc>
        <w:tc>
          <w:tcPr>
            <w:tcW w:w="839" w:type="dxa"/>
          </w:tcPr>
          <w:p w14:paraId="74E8D683">
            <w:pPr>
              <w:rPr>
                <w:rFonts w:ascii="Times New Roman" w:hAnsi="Times New Roman" w:cs="Times New Roman"/>
                <w:color w:val="auto"/>
                <w:sz w:val="21"/>
              </w:rPr>
            </w:pPr>
          </w:p>
        </w:tc>
        <w:tc>
          <w:tcPr>
            <w:tcW w:w="1054" w:type="dxa"/>
          </w:tcPr>
          <w:p w14:paraId="577D68BB">
            <w:pPr>
              <w:rPr>
                <w:rFonts w:ascii="Times New Roman" w:hAnsi="Times New Roman" w:cs="Times New Roman"/>
                <w:color w:val="auto"/>
                <w:sz w:val="21"/>
              </w:rPr>
            </w:pPr>
          </w:p>
        </w:tc>
      </w:tr>
      <w:tr w14:paraId="69EB4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84" w:type="dxa"/>
            <w:vMerge w:val="continue"/>
            <w:tcBorders>
              <w:top w:val="nil"/>
              <w:bottom w:val="nil"/>
            </w:tcBorders>
            <w:textDirection w:val="tbRlV"/>
          </w:tcPr>
          <w:p w14:paraId="347BC032">
            <w:pPr>
              <w:rPr>
                <w:rFonts w:ascii="Times New Roman" w:hAnsi="Times New Roman" w:cs="Times New Roman"/>
                <w:color w:val="auto"/>
                <w:sz w:val="21"/>
              </w:rPr>
            </w:pPr>
          </w:p>
        </w:tc>
        <w:tc>
          <w:tcPr>
            <w:tcW w:w="2298" w:type="dxa"/>
          </w:tcPr>
          <w:p w14:paraId="40A398B6">
            <w:pPr>
              <w:pStyle w:val="39"/>
              <w:spacing w:before="114" w:line="22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安全员</w:t>
            </w:r>
          </w:p>
        </w:tc>
        <w:tc>
          <w:tcPr>
            <w:tcW w:w="789" w:type="dxa"/>
          </w:tcPr>
          <w:p w14:paraId="5B7D12D2">
            <w:pPr>
              <w:rPr>
                <w:rFonts w:ascii="Times New Roman" w:hAnsi="Times New Roman" w:cs="Times New Roman"/>
                <w:color w:val="auto"/>
                <w:sz w:val="21"/>
              </w:rPr>
            </w:pPr>
          </w:p>
        </w:tc>
        <w:tc>
          <w:tcPr>
            <w:tcW w:w="949" w:type="dxa"/>
          </w:tcPr>
          <w:p w14:paraId="56C33B77">
            <w:pPr>
              <w:rPr>
                <w:rFonts w:ascii="Times New Roman" w:hAnsi="Times New Roman" w:cs="Times New Roman"/>
                <w:color w:val="auto"/>
                <w:sz w:val="21"/>
              </w:rPr>
            </w:pPr>
          </w:p>
        </w:tc>
        <w:tc>
          <w:tcPr>
            <w:tcW w:w="749" w:type="dxa"/>
          </w:tcPr>
          <w:p w14:paraId="43E1C3B9">
            <w:pPr>
              <w:rPr>
                <w:rFonts w:ascii="Times New Roman" w:hAnsi="Times New Roman" w:cs="Times New Roman"/>
                <w:color w:val="auto"/>
                <w:sz w:val="21"/>
              </w:rPr>
            </w:pPr>
          </w:p>
        </w:tc>
        <w:tc>
          <w:tcPr>
            <w:tcW w:w="809" w:type="dxa"/>
          </w:tcPr>
          <w:p w14:paraId="24BD1B4E">
            <w:pPr>
              <w:rPr>
                <w:rFonts w:ascii="Times New Roman" w:hAnsi="Times New Roman" w:cs="Times New Roman"/>
                <w:color w:val="auto"/>
                <w:sz w:val="21"/>
              </w:rPr>
            </w:pPr>
          </w:p>
        </w:tc>
        <w:tc>
          <w:tcPr>
            <w:tcW w:w="749" w:type="dxa"/>
          </w:tcPr>
          <w:p w14:paraId="39A9AB1F">
            <w:pPr>
              <w:rPr>
                <w:rFonts w:ascii="Times New Roman" w:hAnsi="Times New Roman" w:cs="Times New Roman"/>
                <w:color w:val="auto"/>
                <w:sz w:val="21"/>
              </w:rPr>
            </w:pPr>
          </w:p>
        </w:tc>
        <w:tc>
          <w:tcPr>
            <w:tcW w:w="699" w:type="dxa"/>
          </w:tcPr>
          <w:p w14:paraId="51ED76DE">
            <w:pPr>
              <w:rPr>
                <w:rFonts w:ascii="Times New Roman" w:hAnsi="Times New Roman" w:cs="Times New Roman"/>
                <w:color w:val="auto"/>
                <w:sz w:val="21"/>
              </w:rPr>
            </w:pPr>
          </w:p>
        </w:tc>
        <w:tc>
          <w:tcPr>
            <w:tcW w:w="839" w:type="dxa"/>
          </w:tcPr>
          <w:p w14:paraId="00BCA47F">
            <w:pPr>
              <w:rPr>
                <w:rFonts w:ascii="Times New Roman" w:hAnsi="Times New Roman" w:cs="Times New Roman"/>
                <w:color w:val="auto"/>
                <w:sz w:val="21"/>
              </w:rPr>
            </w:pPr>
          </w:p>
        </w:tc>
        <w:tc>
          <w:tcPr>
            <w:tcW w:w="1054" w:type="dxa"/>
          </w:tcPr>
          <w:p w14:paraId="4E4FFD22">
            <w:pPr>
              <w:rPr>
                <w:rFonts w:ascii="Times New Roman" w:hAnsi="Times New Roman" w:cs="Times New Roman"/>
                <w:color w:val="auto"/>
                <w:sz w:val="21"/>
              </w:rPr>
            </w:pPr>
          </w:p>
        </w:tc>
      </w:tr>
      <w:tr w14:paraId="1E8BE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4" w:type="dxa"/>
            <w:vMerge w:val="continue"/>
            <w:tcBorders>
              <w:top w:val="nil"/>
            </w:tcBorders>
            <w:textDirection w:val="tbRlV"/>
          </w:tcPr>
          <w:p w14:paraId="4D3E437A">
            <w:pPr>
              <w:rPr>
                <w:rFonts w:ascii="Times New Roman" w:hAnsi="Times New Roman" w:cs="Times New Roman"/>
                <w:color w:val="auto"/>
                <w:sz w:val="21"/>
              </w:rPr>
            </w:pPr>
          </w:p>
        </w:tc>
        <w:tc>
          <w:tcPr>
            <w:tcW w:w="2298" w:type="dxa"/>
          </w:tcPr>
          <w:p w14:paraId="07AF072C">
            <w:pPr>
              <w:pStyle w:val="39"/>
              <w:spacing w:before="195" w:line="221" w:lineRule="auto"/>
              <w:jc w:val="center"/>
              <w:rPr>
                <w:rFonts w:ascii="Times New Roman" w:hAnsi="Times New Roman" w:cs="Times New Roman"/>
                <w:color w:val="auto"/>
                <w:sz w:val="24"/>
                <w:szCs w:val="24"/>
                <w:lang w:eastAsia="zh-CN"/>
              </w:rPr>
            </w:pPr>
            <w:r>
              <w:rPr>
                <w:rFonts w:ascii="Times New Roman" w:hAnsi="Times New Roman" w:cs="Times New Roman"/>
                <w:color w:val="auto"/>
                <w:spacing w:val="-7"/>
                <w:position w:val="3"/>
                <w:sz w:val="24"/>
                <w:szCs w:val="24"/>
              </w:rPr>
              <w:t>……</w:t>
            </w:r>
          </w:p>
        </w:tc>
        <w:tc>
          <w:tcPr>
            <w:tcW w:w="789" w:type="dxa"/>
          </w:tcPr>
          <w:p w14:paraId="63010D7E">
            <w:pPr>
              <w:rPr>
                <w:rFonts w:ascii="Times New Roman" w:hAnsi="Times New Roman" w:cs="Times New Roman"/>
                <w:color w:val="auto"/>
                <w:sz w:val="21"/>
              </w:rPr>
            </w:pPr>
          </w:p>
        </w:tc>
        <w:tc>
          <w:tcPr>
            <w:tcW w:w="949" w:type="dxa"/>
          </w:tcPr>
          <w:p w14:paraId="7C558A99">
            <w:pPr>
              <w:rPr>
                <w:rFonts w:ascii="Times New Roman" w:hAnsi="Times New Roman" w:cs="Times New Roman"/>
                <w:color w:val="auto"/>
                <w:sz w:val="21"/>
              </w:rPr>
            </w:pPr>
          </w:p>
        </w:tc>
        <w:tc>
          <w:tcPr>
            <w:tcW w:w="749" w:type="dxa"/>
          </w:tcPr>
          <w:p w14:paraId="23C55EAE">
            <w:pPr>
              <w:rPr>
                <w:rFonts w:ascii="Times New Roman" w:hAnsi="Times New Roman" w:cs="Times New Roman"/>
                <w:color w:val="auto"/>
                <w:sz w:val="21"/>
              </w:rPr>
            </w:pPr>
          </w:p>
        </w:tc>
        <w:tc>
          <w:tcPr>
            <w:tcW w:w="809" w:type="dxa"/>
          </w:tcPr>
          <w:p w14:paraId="2CC53829">
            <w:pPr>
              <w:rPr>
                <w:rFonts w:ascii="Times New Roman" w:hAnsi="Times New Roman" w:cs="Times New Roman"/>
                <w:color w:val="auto"/>
                <w:sz w:val="21"/>
              </w:rPr>
            </w:pPr>
          </w:p>
        </w:tc>
        <w:tc>
          <w:tcPr>
            <w:tcW w:w="749" w:type="dxa"/>
          </w:tcPr>
          <w:p w14:paraId="69E2E8F2">
            <w:pPr>
              <w:rPr>
                <w:rFonts w:ascii="Times New Roman" w:hAnsi="Times New Roman" w:cs="Times New Roman"/>
                <w:color w:val="auto"/>
                <w:sz w:val="21"/>
              </w:rPr>
            </w:pPr>
          </w:p>
        </w:tc>
        <w:tc>
          <w:tcPr>
            <w:tcW w:w="699" w:type="dxa"/>
          </w:tcPr>
          <w:p w14:paraId="5EB451D4">
            <w:pPr>
              <w:rPr>
                <w:rFonts w:ascii="Times New Roman" w:hAnsi="Times New Roman" w:cs="Times New Roman"/>
                <w:color w:val="auto"/>
                <w:sz w:val="21"/>
              </w:rPr>
            </w:pPr>
          </w:p>
        </w:tc>
        <w:tc>
          <w:tcPr>
            <w:tcW w:w="839" w:type="dxa"/>
          </w:tcPr>
          <w:p w14:paraId="790CFB45">
            <w:pPr>
              <w:rPr>
                <w:rFonts w:ascii="Times New Roman" w:hAnsi="Times New Roman" w:cs="Times New Roman"/>
                <w:color w:val="auto"/>
                <w:sz w:val="21"/>
              </w:rPr>
            </w:pPr>
          </w:p>
        </w:tc>
        <w:tc>
          <w:tcPr>
            <w:tcW w:w="1054" w:type="dxa"/>
          </w:tcPr>
          <w:p w14:paraId="4B4EAF35">
            <w:pPr>
              <w:rPr>
                <w:rFonts w:ascii="Times New Roman" w:hAnsi="Times New Roman" w:cs="Times New Roman"/>
                <w:color w:val="auto"/>
                <w:sz w:val="21"/>
              </w:rPr>
            </w:pPr>
          </w:p>
        </w:tc>
      </w:tr>
      <w:tr w14:paraId="24207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4" w:type="dxa"/>
            <w:vMerge w:val="restart"/>
            <w:tcBorders>
              <w:bottom w:val="nil"/>
            </w:tcBorders>
            <w:textDirection w:val="tbRlV"/>
          </w:tcPr>
          <w:p w14:paraId="089904D2">
            <w:pPr>
              <w:pStyle w:val="39"/>
              <w:spacing w:before="217" w:line="202" w:lineRule="auto"/>
              <w:ind w:left="33"/>
              <w:rPr>
                <w:rFonts w:ascii="Times New Roman" w:hAnsi="Times New Roman" w:cs="Times New Roman"/>
                <w:color w:val="auto"/>
                <w:sz w:val="24"/>
                <w:szCs w:val="24"/>
              </w:rPr>
            </w:pPr>
            <w:r>
              <w:rPr>
                <w:rFonts w:ascii="Times New Roman" w:hAnsi="Times New Roman" w:cs="Times New Roman"/>
                <w:color w:val="auto"/>
                <w:sz w:val="24"/>
                <w:szCs w:val="24"/>
              </w:rPr>
              <w:t>其</w:t>
            </w:r>
            <w:r>
              <w:rPr>
                <w:rFonts w:ascii="Times New Roman" w:hAnsi="Times New Roman" w:cs="Times New Roman"/>
                <w:color w:val="auto"/>
                <w:spacing w:val="112"/>
                <w:sz w:val="24"/>
                <w:szCs w:val="24"/>
              </w:rPr>
              <w:t xml:space="preserve"> </w:t>
            </w:r>
            <w:r>
              <w:rPr>
                <w:rFonts w:ascii="Times New Roman" w:hAnsi="Times New Roman" w:cs="Times New Roman"/>
                <w:color w:val="auto"/>
                <w:sz w:val="24"/>
                <w:szCs w:val="24"/>
              </w:rPr>
              <w:t>他</w:t>
            </w:r>
            <w:r>
              <w:rPr>
                <w:rFonts w:ascii="Times New Roman" w:hAnsi="Times New Roman" w:cs="Times New Roman"/>
                <w:color w:val="auto"/>
                <w:spacing w:val="112"/>
                <w:sz w:val="24"/>
                <w:szCs w:val="24"/>
              </w:rPr>
              <w:t xml:space="preserve"> </w:t>
            </w:r>
            <w:r>
              <w:rPr>
                <w:rFonts w:ascii="Times New Roman" w:hAnsi="Times New Roman" w:cs="Times New Roman"/>
                <w:color w:val="auto"/>
                <w:sz w:val="24"/>
                <w:szCs w:val="24"/>
              </w:rPr>
              <w:t>岗</w:t>
            </w:r>
            <w:r>
              <w:rPr>
                <w:rFonts w:ascii="Times New Roman" w:hAnsi="Times New Roman" w:cs="Times New Roman"/>
                <w:color w:val="auto"/>
                <w:spacing w:val="112"/>
                <w:sz w:val="24"/>
                <w:szCs w:val="24"/>
              </w:rPr>
              <w:t xml:space="preserve"> </w:t>
            </w:r>
            <w:r>
              <w:rPr>
                <w:rFonts w:ascii="Times New Roman" w:hAnsi="Times New Roman" w:cs="Times New Roman"/>
                <w:color w:val="auto"/>
                <w:sz w:val="24"/>
                <w:szCs w:val="24"/>
              </w:rPr>
              <w:t>位</w:t>
            </w:r>
          </w:p>
        </w:tc>
        <w:tc>
          <w:tcPr>
            <w:tcW w:w="2298" w:type="dxa"/>
          </w:tcPr>
          <w:p w14:paraId="16FF7DDE">
            <w:pPr>
              <w:pStyle w:val="39"/>
              <w:spacing w:before="108" w:line="378" w:lineRule="exact"/>
              <w:jc w:val="center"/>
              <w:rPr>
                <w:rFonts w:ascii="Times New Roman" w:hAnsi="Times New Roman" w:cs="Times New Roman"/>
                <w:color w:val="auto"/>
                <w:sz w:val="24"/>
                <w:szCs w:val="24"/>
              </w:rPr>
            </w:pPr>
            <w:r>
              <w:rPr>
                <w:rFonts w:ascii="Times New Roman" w:hAnsi="Times New Roman" w:cs="Times New Roman"/>
                <w:color w:val="auto"/>
                <w:spacing w:val="-7"/>
                <w:position w:val="3"/>
                <w:sz w:val="24"/>
                <w:szCs w:val="24"/>
              </w:rPr>
              <w:t>……</w:t>
            </w:r>
          </w:p>
        </w:tc>
        <w:tc>
          <w:tcPr>
            <w:tcW w:w="789" w:type="dxa"/>
          </w:tcPr>
          <w:p w14:paraId="2F0702F3">
            <w:pPr>
              <w:rPr>
                <w:rFonts w:ascii="Times New Roman" w:hAnsi="Times New Roman" w:cs="Times New Roman"/>
                <w:color w:val="auto"/>
                <w:sz w:val="21"/>
              </w:rPr>
            </w:pPr>
          </w:p>
        </w:tc>
        <w:tc>
          <w:tcPr>
            <w:tcW w:w="949" w:type="dxa"/>
          </w:tcPr>
          <w:p w14:paraId="0A7B3C3A">
            <w:pPr>
              <w:rPr>
                <w:rFonts w:ascii="Times New Roman" w:hAnsi="Times New Roman" w:cs="Times New Roman"/>
                <w:color w:val="auto"/>
                <w:sz w:val="21"/>
              </w:rPr>
            </w:pPr>
          </w:p>
        </w:tc>
        <w:tc>
          <w:tcPr>
            <w:tcW w:w="749" w:type="dxa"/>
          </w:tcPr>
          <w:p w14:paraId="4522530E">
            <w:pPr>
              <w:rPr>
                <w:rFonts w:ascii="Times New Roman" w:hAnsi="Times New Roman" w:cs="Times New Roman"/>
                <w:color w:val="auto"/>
                <w:sz w:val="21"/>
              </w:rPr>
            </w:pPr>
          </w:p>
        </w:tc>
        <w:tc>
          <w:tcPr>
            <w:tcW w:w="809" w:type="dxa"/>
          </w:tcPr>
          <w:p w14:paraId="4E3D882B">
            <w:pPr>
              <w:rPr>
                <w:rFonts w:ascii="Times New Roman" w:hAnsi="Times New Roman" w:cs="Times New Roman"/>
                <w:color w:val="auto"/>
                <w:sz w:val="21"/>
              </w:rPr>
            </w:pPr>
          </w:p>
        </w:tc>
        <w:tc>
          <w:tcPr>
            <w:tcW w:w="749" w:type="dxa"/>
          </w:tcPr>
          <w:p w14:paraId="4C6ACCE4">
            <w:pPr>
              <w:rPr>
                <w:rFonts w:ascii="Times New Roman" w:hAnsi="Times New Roman" w:cs="Times New Roman"/>
                <w:color w:val="auto"/>
                <w:sz w:val="21"/>
              </w:rPr>
            </w:pPr>
          </w:p>
        </w:tc>
        <w:tc>
          <w:tcPr>
            <w:tcW w:w="699" w:type="dxa"/>
          </w:tcPr>
          <w:p w14:paraId="79757D82">
            <w:pPr>
              <w:rPr>
                <w:rFonts w:ascii="Times New Roman" w:hAnsi="Times New Roman" w:cs="Times New Roman"/>
                <w:color w:val="auto"/>
                <w:sz w:val="21"/>
              </w:rPr>
            </w:pPr>
          </w:p>
        </w:tc>
        <w:tc>
          <w:tcPr>
            <w:tcW w:w="839" w:type="dxa"/>
          </w:tcPr>
          <w:p w14:paraId="0ED111FA">
            <w:pPr>
              <w:rPr>
                <w:rFonts w:ascii="Times New Roman" w:hAnsi="Times New Roman" w:cs="Times New Roman"/>
                <w:color w:val="auto"/>
                <w:sz w:val="21"/>
              </w:rPr>
            </w:pPr>
          </w:p>
        </w:tc>
        <w:tc>
          <w:tcPr>
            <w:tcW w:w="1054" w:type="dxa"/>
          </w:tcPr>
          <w:p w14:paraId="144870E1">
            <w:pPr>
              <w:rPr>
                <w:rFonts w:ascii="Times New Roman" w:hAnsi="Times New Roman" w:cs="Times New Roman"/>
                <w:color w:val="auto"/>
                <w:sz w:val="21"/>
              </w:rPr>
            </w:pPr>
          </w:p>
        </w:tc>
      </w:tr>
      <w:tr w14:paraId="4ADA3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84" w:type="dxa"/>
            <w:vMerge w:val="continue"/>
            <w:tcBorders>
              <w:top w:val="nil"/>
              <w:bottom w:val="nil"/>
            </w:tcBorders>
            <w:textDirection w:val="tbRlV"/>
          </w:tcPr>
          <w:p w14:paraId="78EBC755">
            <w:pPr>
              <w:rPr>
                <w:rFonts w:ascii="Times New Roman" w:hAnsi="Times New Roman" w:cs="Times New Roman"/>
                <w:color w:val="auto"/>
                <w:sz w:val="21"/>
              </w:rPr>
            </w:pPr>
          </w:p>
        </w:tc>
        <w:tc>
          <w:tcPr>
            <w:tcW w:w="2298" w:type="dxa"/>
          </w:tcPr>
          <w:p w14:paraId="2BABF7A9">
            <w:pPr>
              <w:rPr>
                <w:rFonts w:ascii="Times New Roman" w:hAnsi="Times New Roman" w:cs="Times New Roman"/>
                <w:color w:val="auto"/>
                <w:sz w:val="21"/>
              </w:rPr>
            </w:pPr>
          </w:p>
        </w:tc>
        <w:tc>
          <w:tcPr>
            <w:tcW w:w="789" w:type="dxa"/>
          </w:tcPr>
          <w:p w14:paraId="28444466">
            <w:pPr>
              <w:rPr>
                <w:rFonts w:ascii="Times New Roman" w:hAnsi="Times New Roman" w:cs="Times New Roman"/>
                <w:color w:val="auto"/>
                <w:sz w:val="21"/>
              </w:rPr>
            </w:pPr>
          </w:p>
        </w:tc>
        <w:tc>
          <w:tcPr>
            <w:tcW w:w="949" w:type="dxa"/>
          </w:tcPr>
          <w:p w14:paraId="6CF63DF9">
            <w:pPr>
              <w:rPr>
                <w:rFonts w:ascii="Times New Roman" w:hAnsi="Times New Roman" w:cs="Times New Roman"/>
                <w:color w:val="auto"/>
                <w:sz w:val="21"/>
              </w:rPr>
            </w:pPr>
          </w:p>
        </w:tc>
        <w:tc>
          <w:tcPr>
            <w:tcW w:w="749" w:type="dxa"/>
          </w:tcPr>
          <w:p w14:paraId="070327D4">
            <w:pPr>
              <w:rPr>
                <w:rFonts w:ascii="Times New Roman" w:hAnsi="Times New Roman" w:cs="Times New Roman"/>
                <w:color w:val="auto"/>
                <w:sz w:val="21"/>
              </w:rPr>
            </w:pPr>
          </w:p>
        </w:tc>
        <w:tc>
          <w:tcPr>
            <w:tcW w:w="809" w:type="dxa"/>
          </w:tcPr>
          <w:p w14:paraId="6AE142A0">
            <w:pPr>
              <w:rPr>
                <w:rFonts w:ascii="Times New Roman" w:hAnsi="Times New Roman" w:cs="Times New Roman"/>
                <w:color w:val="auto"/>
                <w:sz w:val="21"/>
              </w:rPr>
            </w:pPr>
          </w:p>
        </w:tc>
        <w:tc>
          <w:tcPr>
            <w:tcW w:w="749" w:type="dxa"/>
          </w:tcPr>
          <w:p w14:paraId="6CFCBD29">
            <w:pPr>
              <w:rPr>
                <w:rFonts w:ascii="Times New Roman" w:hAnsi="Times New Roman" w:cs="Times New Roman"/>
                <w:color w:val="auto"/>
                <w:sz w:val="21"/>
              </w:rPr>
            </w:pPr>
          </w:p>
        </w:tc>
        <w:tc>
          <w:tcPr>
            <w:tcW w:w="699" w:type="dxa"/>
          </w:tcPr>
          <w:p w14:paraId="48116126">
            <w:pPr>
              <w:rPr>
                <w:rFonts w:ascii="Times New Roman" w:hAnsi="Times New Roman" w:cs="Times New Roman"/>
                <w:color w:val="auto"/>
                <w:sz w:val="21"/>
              </w:rPr>
            </w:pPr>
          </w:p>
        </w:tc>
        <w:tc>
          <w:tcPr>
            <w:tcW w:w="839" w:type="dxa"/>
          </w:tcPr>
          <w:p w14:paraId="1F67F517">
            <w:pPr>
              <w:rPr>
                <w:rFonts w:ascii="Times New Roman" w:hAnsi="Times New Roman" w:cs="Times New Roman"/>
                <w:color w:val="auto"/>
                <w:sz w:val="21"/>
              </w:rPr>
            </w:pPr>
          </w:p>
        </w:tc>
        <w:tc>
          <w:tcPr>
            <w:tcW w:w="1054" w:type="dxa"/>
          </w:tcPr>
          <w:p w14:paraId="243EEA2F">
            <w:pPr>
              <w:rPr>
                <w:rFonts w:ascii="Times New Roman" w:hAnsi="Times New Roman" w:cs="Times New Roman"/>
                <w:color w:val="auto"/>
                <w:sz w:val="21"/>
              </w:rPr>
            </w:pPr>
          </w:p>
        </w:tc>
      </w:tr>
      <w:tr w14:paraId="0FE25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84" w:type="dxa"/>
            <w:vMerge w:val="continue"/>
            <w:tcBorders>
              <w:top w:val="nil"/>
              <w:bottom w:val="nil"/>
            </w:tcBorders>
            <w:textDirection w:val="tbRlV"/>
          </w:tcPr>
          <w:p w14:paraId="081EAFEF">
            <w:pPr>
              <w:rPr>
                <w:rFonts w:ascii="Times New Roman" w:hAnsi="Times New Roman" w:cs="Times New Roman"/>
                <w:color w:val="auto"/>
                <w:sz w:val="21"/>
              </w:rPr>
            </w:pPr>
          </w:p>
        </w:tc>
        <w:tc>
          <w:tcPr>
            <w:tcW w:w="2298" w:type="dxa"/>
          </w:tcPr>
          <w:p w14:paraId="1CFA3BC1">
            <w:pPr>
              <w:rPr>
                <w:rFonts w:ascii="Times New Roman" w:hAnsi="Times New Roman" w:cs="Times New Roman"/>
                <w:color w:val="auto"/>
                <w:sz w:val="21"/>
              </w:rPr>
            </w:pPr>
          </w:p>
        </w:tc>
        <w:tc>
          <w:tcPr>
            <w:tcW w:w="789" w:type="dxa"/>
          </w:tcPr>
          <w:p w14:paraId="597D46AD">
            <w:pPr>
              <w:rPr>
                <w:rFonts w:ascii="Times New Roman" w:hAnsi="Times New Roman" w:cs="Times New Roman"/>
                <w:color w:val="auto"/>
                <w:sz w:val="21"/>
              </w:rPr>
            </w:pPr>
          </w:p>
        </w:tc>
        <w:tc>
          <w:tcPr>
            <w:tcW w:w="949" w:type="dxa"/>
          </w:tcPr>
          <w:p w14:paraId="59C1F07A">
            <w:pPr>
              <w:rPr>
                <w:rFonts w:ascii="Times New Roman" w:hAnsi="Times New Roman" w:cs="Times New Roman"/>
                <w:color w:val="auto"/>
                <w:sz w:val="21"/>
              </w:rPr>
            </w:pPr>
          </w:p>
        </w:tc>
        <w:tc>
          <w:tcPr>
            <w:tcW w:w="749" w:type="dxa"/>
          </w:tcPr>
          <w:p w14:paraId="1C09E17B">
            <w:pPr>
              <w:rPr>
                <w:rFonts w:ascii="Times New Roman" w:hAnsi="Times New Roman" w:cs="Times New Roman"/>
                <w:color w:val="auto"/>
                <w:sz w:val="21"/>
              </w:rPr>
            </w:pPr>
          </w:p>
        </w:tc>
        <w:tc>
          <w:tcPr>
            <w:tcW w:w="809" w:type="dxa"/>
          </w:tcPr>
          <w:p w14:paraId="7D3DE611">
            <w:pPr>
              <w:rPr>
                <w:rFonts w:ascii="Times New Roman" w:hAnsi="Times New Roman" w:cs="Times New Roman"/>
                <w:color w:val="auto"/>
                <w:sz w:val="21"/>
              </w:rPr>
            </w:pPr>
          </w:p>
        </w:tc>
        <w:tc>
          <w:tcPr>
            <w:tcW w:w="749" w:type="dxa"/>
          </w:tcPr>
          <w:p w14:paraId="4D1E8F25">
            <w:pPr>
              <w:rPr>
                <w:rFonts w:ascii="Times New Roman" w:hAnsi="Times New Roman" w:cs="Times New Roman"/>
                <w:color w:val="auto"/>
                <w:sz w:val="21"/>
              </w:rPr>
            </w:pPr>
          </w:p>
        </w:tc>
        <w:tc>
          <w:tcPr>
            <w:tcW w:w="699" w:type="dxa"/>
          </w:tcPr>
          <w:p w14:paraId="43EE3F9A">
            <w:pPr>
              <w:rPr>
                <w:rFonts w:ascii="Times New Roman" w:hAnsi="Times New Roman" w:cs="Times New Roman"/>
                <w:color w:val="auto"/>
                <w:sz w:val="21"/>
              </w:rPr>
            </w:pPr>
          </w:p>
        </w:tc>
        <w:tc>
          <w:tcPr>
            <w:tcW w:w="839" w:type="dxa"/>
          </w:tcPr>
          <w:p w14:paraId="3BFAAC10">
            <w:pPr>
              <w:rPr>
                <w:rFonts w:ascii="Times New Roman" w:hAnsi="Times New Roman" w:cs="Times New Roman"/>
                <w:color w:val="auto"/>
                <w:sz w:val="21"/>
              </w:rPr>
            </w:pPr>
          </w:p>
        </w:tc>
        <w:tc>
          <w:tcPr>
            <w:tcW w:w="1054" w:type="dxa"/>
          </w:tcPr>
          <w:p w14:paraId="620A1F87">
            <w:pPr>
              <w:rPr>
                <w:rFonts w:ascii="Times New Roman" w:hAnsi="Times New Roman" w:cs="Times New Roman"/>
                <w:color w:val="auto"/>
                <w:sz w:val="21"/>
              </w:rPr>
            </w:pPr>
          </w:p>
        </w:tc>
      </w:tr>
      <w:tr w14:paraId="1BD24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4" w:type="dxa"/>
            <w:vMerge w:val="continue"/>
            <w:tcBorders>
              <w:top w:val="nil"/>
            </w:tcBorders>
            <w:textDirection w:val="tbRlV"/>
          </w:tcPr>
          <w:p w14:paraId="72E42E99">
            <w:pPr>
              <w:rPr>
                <w:rFonts w:ascii="Times New Roman" w:hAnsi="Times New Roman" w:cs="Times New Roman"/>
                <w:color w:val="auto"/>
                <w:sz w:val="21"/>
              </w:rPr>
            </w:pPr>
          </w:p>
        </w:tc>
        <w:tc>
          <w:tcPr>
            <w:tcW w:w="2298" w:type="dxa"/>
          </w:tcPr>
          <w:p w14:paraId="322246E0">
            <w:pPr>
              <w:rPr>
                <w:rFonts w:ascii="Times New Roman" w:hAnsi="Times New Roman" w:cs="Times New Roman"/>
                <w:color w:val="auto"/>
                <w:sz w:val="21"/>
              </w:rPr>
            </w:pPr>
          </w:p>
        </w:tc>
        <w:tc>
          <w:tcPr>
            <w:tcW w:w="789" w:type="dxa"/>
          </w:tcPr>
          <w:p w14:paraId="5DD4BBD0">
            <w:pPr>
              <w:rPr>
                <w:rFonts w:ascii="Times New Roman" w:hAnsi="Times New Roman" w:cs="Times New Roman"/>
                <w:color w:val="auto"/>
                <w:sz w:val="21"/>
              </w:rPr>
            </w:pPr>
          </w:p>
        </w:tc>
        <w:tc>
          <w:tcPr>
            <w:tcW w:w="949" w:type="dxa"/>
          </w:tcPr>
          <w:p w14:paraId="7D405AF5">
            <w:pPr>
              <w:rPr>
                <w:rFonts w:ascii="Times New Roman" w:hAnsi="Times New Roman" w:cs="Times New Roman"/>
                <w:color w:val="auto"/>
                <w:sz w:val="21"/>
              </w:rPr>
            </w:pPr>
          </w:p>
        </w:tc>
        <w:tc>
          <w:tcPr>
            <w:tcW w:w="749" w:type="dxa"/>
          </w:tcPr>
          <w:p w14:paraId="40B9488B">
            <w:pPr>
              <w:rPr>
                <w:rFonts w:ascii="Times New Roman" w:hAnsi="Times New Roman" w:cs="Times New Roman"/>
                <w:color w:val="auto"/>
                <w:sz w:val="21"/>
              </w:rPr>
            </w:pPr>
          </w:p>
        </w:tc>
        <w:tc>
          <w:tcPr>
            <w:tcW w:w="809" w:type="dxa"/>
          </w:tcPr>
          <w:p w14:paraId="31D7A246">
            <w:pPr>
              <w:rPr>
                <w:rFonts w:ascii="Times New Roman" w:hAnsi="Times New Roman" w:cs="Times New Roman"/>
                <w:color w:val="auto"/>
                <w:sz w:val="21"/>
              </w:rPr>
            </w:pPr>
          </w:p>
        </w:tc>
        <w:tc>
          <w:tcPr>
            <w:tcW w:w="749" w:type="dxa"/>
          </w:tcPr>
          <w:p w14:paraId="2ECEA172">
            <w:pPr>
              <w:rPr>
                <w:rFonts w:ascii="Times New Roman" w:hAnsi="Times New Roman" w:cs="Times New Roman"/>
                <w:color w:val="auto"/>
                <w:sz w:val="21"/>
              </w:rPr>
            </w:pPr>
          </w:p>
        </w:tc>
        <w:tc>
          <w:tcPr>
            <w:tcW w:w="699" w:type="dxa"/>
          </w:tcPr>
          <w:p w14:paraId="5D324049">
            <w:pPr>
              <w:rPr>
                <w:rFonts w:ascii="Times New Roman" w:hAnsi="Times New Roman" w:cs="Times New Roman"/>
                <w:color w:val="auto"/>
                <w:sz w:val="21"/>
              </w:rPr>
            </w:pPr>
          </w:p>
        </w:tc>
        <w:tc>
          <w:tcPr>
            <w:tcW w:w="839" w:type="dxa"/>
          </w:tcPr>
          <w:p w14:paraId="151499EE">
            <w:pPr>
              <w:rPr>
                <w:rFonts w:ascii="Times New Roman" w:hAnsi="Times New Roman" w:cs="Times New Roman"/>
                <w:color w:val="auto"/>
                <w:sz w:val="21"/>
              </w:rPr>
            </w:pPr>
          </w:p>
        </w:tc>
        <w:tc>
          <w:tcPr>
            <w:tcW w:w="1054" w:type="dxa"/>
          </w:tcPr>
          <w:p w14:paraId="383E9554">
            <w:pPr>
              <w:rPr>
                <w:rFonts w:ascii="Times New Roman" w:hAnsi="Times New Roman" w:cs="Times New Roman"/>
                <w:color w:val="auto"/>
                <w:sz w:val="21"/>
              </w:rPr>
            </w:pPr>
          </w:p>
        </w:tc>
      </w:tr>
      <w:tr w14:paraId="7ECB3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83" w:hRule="atLeast"/>
        </w:trPr>
        <w:tc>
          <w:tcPr>
            <w:tcW w:w="9619" w:type="dxa"/>
            <w:gridSpan w:val="10"/>
          </w:tcPr>
          <w:p w14:paraId="64A886D3">
            <w:pPr>
              <w:pStyle w:val="39"/>
              <w:spacing w:before="78" w:line="400" w:lineRule="exact"/>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　　须同时提供拟派驻现场关键岗位人员的聘用合同，及响应截止月上溯3个月(含</w:t>
            </w:r>
            <w:r>
              <w:rPr>
                <w:rFonts w:hint="eastAsia" w:ascii="Times New Roman" w:hAnsi="Times New Roman" w:cs="Times New Roman"/>
                <w:color w:val="auto"/>
                <w:sz w:val="24"/>
                <w:szCs w:val="24"/>
                <w:lang w:eastAsia="zh-CN"/>
              </w:rPr>
              <w:t>响应</w:t>
            </w:r>
            <w:r>
              <w:rPr>
                <w:rFonts w:ascii="Times New Roman" w:hAnsi="Times New Roman" w:cs="Times New Roman"/>
                <w:color w:val="auto"/>
                <w:sz w:val="24"/>
                <w:szCs w:val="24"/>
                <w:lang w:eastAsia="zh-CN"/>
              </w:rPr>
              <w:t>截止日当月，共4个月)中任意连续2个月的</w:t>
            </w:r>
            <w:r>
              <w:rPr>
                <w:rFonts w:ascii="Times New Roman" w:hAnsi="Times New Roman" w:cs="Times New Roman"/>
                <w:color w:val="auto"/>
                <w:spacing w:val="1"/>
                <w:sz w:val="24"/>
                <w:szCs w:val="24"/>
                <w:lang w:eastAsia="zh-CN"/>
              </w:rPr>
              <w:t>社保缴纳证明(加盖所属社保机构印章)。其中关</w:t>
            </w:r>
            <w:r>
              <w:rPr>
                <w:rFonts w:ascii="Times New Roman" w:hAnsi="Times New Roman" w:cs="Times New Roman"/>
                <w:color w:val="auto"/>
                <w:sz w:val="24"/>
                <w:szCs w:val="24"/>
                <w:lang w:eastAsia="zh-CN"/>
              </w:rPr>
              <w:t>键岗位人员个数及合同、社保证明的响应按相关否决响应文件的情形评审；其他所填信息与递交附件不符的，按交易文件具体规</w:t>
            </w:r>
            <w:r>
              <w:rPr>
                <w:rFonts w:ascii="Times New Roman" w:hAnsi="Times New Roman" w:cs="Times New Roman"/>
                <w:color w:val="auto"/>
                <w:spacing w:val="1"/>
                <w:sz w:val="24"/>
                <w:szCs w:val="24"/>
                <w:lang w:eastAsia="zh-CN"/>
              </w:rPr>
              <w:t>定的资信评分要求评审。本工程一旦我单位成交，将承诺如实按上述</w:t>
            </w:r>
            <w:r>
              <w:rPr>
                <w:rFonts w:ascii="Times New Roman" w:hAnsi="Times New Roman" w:cs="Times New Roman"/>
                <w:color w:val="auto"/>
                <w:sz w:val="24"/>
                <w:szCs w:val="24"/>
                <w:lang w:eastAsia="zh-CN"/>
              </w:rPr>
              <w:t>配备人员到位，否则将自愿接受合同相关违约条款处理。</w:t>
            </w:r>
          </w:p>
          <w:p w14:paraId="1F41F503">
            <w:pPr>
              <w:pStyle w:val="39"/>
              <w:spacing w:before="1" w:line="400" w:lineRule="exact"/>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　　上述填报内容真实，若不真实，愿按有关规定接受处</w:t>
            </w:r>
            <w:r>
              <w:rPr>
                <w:rFonts w:ascii="Times New Roman" w:hAnsi="Times New Roman" w:cs="Times New Roman"/>
                <w:color w:val="auto"/>
                <w:spacing w:val="-1"/>
                <w:sz w:val="24"/>
                <w:szCs w:val="24"/>
                <w:lang w:eastAsia="zh-CN"/>
              </w:rPr>
              <w:t>理。</w:t>
            </w:r>
          </w:p>
        </w:tc>
      </w:tr>
    </w:tbl>
    <w:p w14:paraId="40805618">
      <w:pPr>
        <w:pStyle w:val="8"/>
        <w:spacing w:line="288" w:lineRule="auto"/>
        <w:rPr>
          <w:rFonts w:cs="Times New Roman"/>
          <w:color w:val="auto"/>
        </w:rPr>
      </w:pPr>
    </w:p>
    <w:p w14:paraId="3719B9FE">
      <w:pPr>
        <w:pStyle w:val="8"/>
        <w:spacing w:line="289" w:lineRule="auto"/>
        <w:rPr>
          <w:rFonts w:cs="Times New Roman"/>
          <w:color w:val="auto"/>
        </w:rPr>
      </w:pPr>
    </w:p>
    <w:p w14:paraId="6AF2D4B4">
      <w:pPr>
        <w:spacing w:before="71" w:line="356" w:lineRule="auto"/>
        <w:ind w:right="196"/>
        <w:rPr>
          <w:rFonts w:ascii="Times New Roman" w:hAnsi="Times New Roman" w:eastAsia="宋体" w:cs="Times New Roman"/>
          <w:color w:val="auto"/>
          <w:spacing w:val="10"/>
          <w:sz w:val="22"/>
          <w:szCs w:val="22"/>
        </w:rPr>
      </w:pPr>
      <w:r>
        <w:rPr>
          <w:rFonts w:ascii="Times New Roman" w:hAnsi="Times New Roman" w:eastAsia="宋体" w:cs="Times New Roman"/>
          <w:color w:val="auto"/>
          <w:spacing w:val="-4"/>
          <w:sz w:val="22"/>
          <w:szCs w:val="22"/>
        </w:rPr>
        <w:t>　　　　　　　　　　　　　　　　　　　　　　</w:t>
      </w:r>
      <w:r>
        <w:rPr>
          <w:rFonts w:ascii="Times New Roman" w:hAnsi="Times New Roman" w:cs="Times New Roman"/>
          <w:color w:val="auto"/>
        </w:rPr>
        <w:t xml:space="preserve">潜在承包人名称(电子签名) </w:t>
      </w:r>
      <w:r>
        <w:rPr>
          <w:rFonts w:ascii="Times New Roman" w:hAnsi="Times New Roman" w:eastAsia="宋体" w:cs="Times New Roman"/>
          <w:color w:val="auto"/>
          <w:spacing w:val="-4"/>
          <w:sz w:val="22"/>
          <w:szCs w:val="22"/>
        </w:rPr>
        <w:t>：</w:t>
      </w:r>
    </w:p>
    <w:p w14:paraId="3C062768">
      <w:pPr>
        <w:spacing w:before="74"/>
        <w:ind w:right="-90"/>
        <w:rPr>
          <w:rFonts w:ascii="Times New Roman" w:hAnsi="Times New Roman" w:cs="Times New Roman"/>
          <w:color w:val="auto"/>
          <w:u w:val="single"/>
        </w:rPr>
      </w:pPr>
      <w:r>
        <w:rPr>
          <w:rFonts w:ascii="Times New Roman" w:hAnsi="Times New Roman" w:eastAsia="宋体" w:cs="Times New Roman"/>
          <w:color w:val="auto"/>
          <w:spacing w:val="-1"/>
          <w:sz w:val="22"/>
          <w:szCs w:val="22"/>
        </w:rPr>
        <w:t>　　　　　　　　　　　　　　　　　　　　　　</w:t>
      </w:r>
      <w:r>
        <w:rPr>
          <w:rFonts w:ascii="Times New Roman" w:hAnsi="Times New Roman" w:cs="Times New Roman"/>
          <w:color w:val="auto"/>
        </w:rPr>
        <w:t>日期：  年   月   日</w:t>
      </w:r>
    </w:p>
    <w:p w14:paraId="2811EB8A">
      <w:pPr>
        <w:spacing w:before="71" w:line="356" w:lineRule="auto"/>
        <w:ind w:right="196"/>
        <w:jc w:val="center"/>
        <w:rPr>
          <w:rFonts w:ascii="Times New Roman" w:hAnsi="Times New Roman" w:eastAsia="宋体" w:cs="Times New Roman"/>
          <w:color w:val="auto"/>
          <w:sz w:val="22"/>
          <w:szCs w:val="22"/>
        </w:rPr>
        <w:sectPr>
          <w:footerReference r:id="rId24" w:type="default"/>
          <w:pgSz w:w="11910" w:h="16840"/>
          <w:pgMar w:top="1440" w:right="1080" w:bottom="1440" w:left="1080" w:header="0" w:footer="681" w:gutter="0"/>
          <w:cols w:space="720" w:num="1"/>
        </w:sectPr>
      </w:pPr>
      <w:r>
        <w:rPr>
          <w:rFonts w:ascii="Times New Roman" w:hAnsi="Times New Roman" w:eastAsia="宋体" w:cs="Times New Roman"/>
          <w:color w:val="auto"/>
          <w:spacing w:val="-1"/>
          <w:sz w:val="22"/>
          <w:szCs w:val="22"/>
        </w:rPr>
        <w:t>　　　　　　　　　　　</w:t>
      </w:r>
    </w:p>
    <w:p w14:paraId="34C74BB9">
      <w:pPr>
        <w:spacing w:before="78" w:line="219" w:lineRule="auto"/>
        <w:jc w:val="center"/>
        <w:rPr>
          <w:rFonts w:ascii="Times New Roman" w:hAnsi="Times New Roman" w:eastAsia="宋体" w:cs="Times New Roman"/>
          <w:color w:val="auto"/>
          <w:sz w:val="32"/>
          <w:szCs w:val="32"/>
        </w:rPr>
      </w:pPr>
      <w:r>
        <w:rPr>
          <w:rFonts w:ascii="Times New Roman" w:hAnsi="Times New Roman" w:eastAsia="宋体" w:cs="Times New Roman"/>
          <w:b/>
          <w:bCs/>
          <w:color w:val="auto"/>
          <w:spacing w:val="-6"/>
          <w:sz w:val="32"/>
          <w:szCs w:val="32"/>
        </w:rPr>
        <w:t>表1　项目负责人简历表</w:t>
      </w:r>
    </w:p>
    <w:p w14:paraId="0973D4DD">
      <w:pPr>
        <w:spacing w:line="135" w:lineRule="exact"/>
        <w:rPr>
          <w:rFonts w:ascii="Times New Roman" w:hAnsi="Times New Roman" w:cs="Times New Roman"/>
          <w:color w:val="auto"/>
        </w:rPr>
      </w:pPr>
    </w:p>
    <w:tbl>
      <w:tblPr>
        <w:tblStyle w:val="29"/>
        <w:tblW w:w="90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3"/>
        <w:gridCol w:w="1479"/>
        <w:gridCol w:w="1488"/>
        <w:gridCol w:w="1608"/>
        <w:gridCol w:w="1478"/>
        <w:gridCol w:w="1483"/>
      </w:tblGrid>
      <w:tr w14:paraId="09176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473" w:type="dxa"/>
          </w:tcPr>
          <w:p w14:paraId="6930676C">
            <w:pPr>
              <w:pStyle w:val="39"/>
              <w:spacing w:before="45" w:line="219" w:lineRule="auto"/>
              <w:ind w:left="484"/>
              <w:rPr>
                <w:rFonts w:ascii="Times New Roman" w:hAnsi="Times New Roman" w:cs="Times New Roman"/>
                <w:color w:val="auto"/>
                <w:sz w:val="24"/>
                <w:szCs w:val="24"/>
              </w:rPr>
            </w:pPr>
            <w:r>
              <w:rPr>
                <w:rFonts w:ascii="Times New Roman" w:hAnsi="Times New Roman" w:cs="Times New Roman"/>
                <w:color w:val="auto"/>
                <w:spacing w:val="15"/>
                <w:sz w:val="24"/>
                <w:szCs w:val="24"/>
              </w:rPr>
              <w:t>姓名</w:t>
            </w:r>
          </w:p>
        </w:tc>
        <w:tc>
          <w:tcPr>
            <w:tcW w:w="1479" w:type="dxa"/>
          </w:tcPr>
          <w:p w14:paraId="3E5687D0">
            <w:pPr>
              <w:rPr>
                <w:rFonts w:ascii="Times New Roman" w:hAnsi="Times New Roman" w:cs="Times New Roman"/>
                <w:color w:val="auto"/>
                <w:sz w:val="21"/>
              </w:rPr>
            </w:pPr>
          </w:p>
        </w:tc>
        <w:tc>
          <w:tcPr>
            <w:tcW w:w="1488" w:type="dxa"/>
          </w:tcPr>
          <w:p w14:paraId="6C485AB5">
            <w:pPr>
              <w:pStyle w:val="39"/>
              <w:spacing w:before="45" w:line="220" w:lineRule="auto"/>
              <w:ind w:left="492"/>
              <w:rPr>
                <w:rFonts w:ascii="Times New Roman" w:hAnsi="Times New Roman" w:cs="Times New Roman"/>
                <w:color w:val="auto"/>
                <w:sz w:val="24"/>
                <w:szCs w:val="24"/>
              </w:rPr>
            </w:pPr>
            <w:r>
              <w:rPr>
                <w:rFonts w:ascii="Times New Roman" w:hAnsi="Times New Roman" w:cs="Times New Roman"/>
                <w:color w:val="auto"/>
                <w:spacing w:val="9"/>
                <w:sz w:val="24"/>
                <w:szCs w:val="24"/>
              </w:rPr>
              <w:t>性别</w:t>
            </w:r>
          </w:p>
        </w:tc>
        <w:tc>
          <w:tcPr>
            <w:tcW w:w="1608" w:type="dxa"/>
          </w:tcPr>
          <w:p w14:paraId="4A362FBE">
            <w:pPr>
              <w:rPr>
                <w:rFonts w:ascii="Times New Roman" w:hAnsi="Times New Roman" w:cs="Times New Roman"/>
                <w:color w:val="auto"/>
                <w:sz w:val="21"/>
              </w:rPr>
            </w:pPr>
          </w:p>
        </w:tc>
        <w:tc>
          <w:tcPr>
            <w:tcW w:w="1478" w:type="dxa"/>
          </w:tcPr>
          <w:p w14:paraId="3895408E">
            <w:pPr>
              <w:pStyle w:val="39"/>
              <w:spacing w:before="45" w:line="219" w:lineRule="auto"/>
              <w:ind w:left="496"/>
              <w:rPr>
                <w:rFonts w:ascii="Times New Roman" w:hAnsi="Times New Roman" w:cs="Times New Roman"/>
                <w:color w:val="auto"/>
                <w:sz w:val="24"/>
                <w:szCs w:val="24"/>
              </w:rPr>
            </w:pPr>
            <w:r>
              <w:rPr>
                <w:rFonts w:ascii="Times New Roman" w:hAnsi="Times New Roman" w:cs="Times New Roman"/>
                <w:color w:val="auto"/>
                <w:spacing w:val="-3"/>
                <w:sz w:val="24"/>
                <w:szCs w:val="24"/>
              </w:rPr>
              <w:t>年龄</w:t>
            </w:r>
          </w:p>
        </w:tc>
        <w:tc>
          <w:tcPr>
            <w:tcW w:w="1483" w:type="dxa"/>
          </w:tcPr>
          <w:p w14:paraId="73865F13">
            <w:pPr>
              <w:rPr>
                <w:rFonts w:ascii="Times New Roman" w:hAnsi="Times New Roman" w:cs="Times New Roman"/>
                <w:color w:val="auto"/>
                <w:sz w:val="21"/>
              </w:rPr>
            </w:pPr>
          </w:p>
        </w:tc>
      </w:tr>
      <w:tr w14:paraId="41675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73" w:type="dxa"/>
          </w:tcPr>
          <w:p w14:paraId="05E1C49B">
            <w:pPr>
              <w:pStyle w:val="39"/>
              <w:spacing w:before="120" w:line="219" w:lineRule="auto"/>
              <w:ind w:left="484"/>
              <w:rPr>
                <w:rFonts w:ascii="Times New Roman" w:hAnsi="Times New Roman" w:cs="Times New Roman"/>
                <w:color w:val="auto"/>
                <w:sz w:val="24"/>
                <w:szCs w:val="24"/>
              </w:rPr>
            </w:pPr>
            <w:r>
              <w:rPr>
                <w:rFonts w:ascii="Times New Roman" w:hAnsi="Times New Roman" w:cs="Times New Roman"/>
                <w:color w:val="auto"/>
                <w:spacing w:val="5"/>
                <w:sz w:val="24"/>
                <w:szCs w:val="24"/>
              </w:rPr>
              <w:t>职务</w:t>
            </w:r>
          </w:p>
        </w:tc>
        <w:tc>
          <w:tcPr>
            <w:tcW w:w="1479" w:type="dxa"/>
          </w:tcPr>
          <w:p w14:paraId="5D58C232">
            <w:pPr>
              <w:rPr>
                <w:rFonts w:ascii="Times New Roman" w:hAnsi="Times New Roman" w:cs="Times New Roman"/>
                <w:color w:val="auto"/>
                <w:sz w:val="21"/>
              </w:rPr>
            </w:pPr>
          </w:p>
        </w:tc>
        <w:tc>
          <w:tcPr>
            <w:tcW w:w="1488" w:type="dxa"/>
          </w:tcPr>
          <w:p w14:paraId="48FEA96A">
            <w:pPr>
              <w:pStyle w:val="39"/>
              <w:spacing w:before="123" w:line="221" w:lineRule="auto"/>
              <w:ind w:left="492"/>
              <w:rPr>
                <w:rFonts w:ascii="Times New Roman" w:hAnsi="Times New Roman" w:cs="Times New Roman"/>
                <w:color w:val="auto"/>
                <w:sz w:val="24"/>
                <w:szCs w:val="24"/>
              </w:rPr>
            </w:pPr>
            <w:r>
              <w:rPr>
                <w:rFonts w:ascii="Times New Roman" w:hAnsi="Times New Roman" w:cs="Times New Roman"/>
                <w:color w:val="auto"/>
                <w:spacing w:val="6"/>
                <w:sz w:val="24"/>
                <w:szCs w:val="24"/>
              </w:rPr>
              <w:t>职称</w:t>
            </w:r>
          </w:p>
        </w:tc>
        <w:tc>
          <w:tcPr>
            <w:tcW w:w="1608" w:type="dxa"/>
          </w:tcPr>
          <w:p w14:paraId="2E630CB0">
            <w:pPr>
              <w:rPr>
                <w:rFonts w:ascii="Times New Roman" w:hAnsi="Times New Roman" w:cs="Times New Roman"/>
                <w:color w:val="auto"/>
                <w:sz w:val="21"/>
              </w:rPr>
            </w:pPr>
          </w:p>
        </w:tc>
        <w:tc>
          <w:tcPr>
            <w:tcW w:w="1478" w:type="dxa"/>
          </w:tcPr>
          <w:p w14:paraId="6A9C7E0A">
            <w:pPr>
              <w:pStyle w:val="39"/>
              <w:spacing w:before="121" w:line="221" w:lineRule="auto"/>
              <w:ind w:left="496"/>
              <w:rPr>
                <w:rFonts w:ascii="Times New Roman" w:hAnsi="Times New Roman" w:cs="Times New Roman"/>
                <w:color w:val="auto"/>
                <w:sz w:val="24"/>
                <w:szCs w:val="24"/>
              </w:rPr>
            </w:pPr>
            <w:r>
              <w:rPr>
                <w:rFonts w:ascii="Times New Roman" w:hAnsi="Times New Roman" w:cs="Times New Roman"/>
                <w:color w:val="auto"/>
                <w:spacing w:val="7"/>
                <w:sz w:val="24"/>
                <w:szCs w:val="24"/>
              </w:rPr>
              <w:t>学历</w:t>
            </w:r>
          </w:p>
        </w:tc>
        <w:tc>
          <w:tcPr>
            <w:tcW w:w="1483" w:type="dxa"/>
          </w:tcPr>
          <w:p w14:paraId="042CC148">
            <w:pPr>
              <w:rPr>
                <w:rFonts w:ascii="Times New Roman" w:hAnsi="Times New Roman" w:cs="Times New Roman"/>
                <w:color w:val="auto"/>
                <w:sz w:val="21"/>
              </w:rPr>
            </w:pPr>
          </w:p>
        </w:tc>
      </w:tr>
      <w:tr w14:paraId="04B9E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952" w:type="dxa"/>
            <w:gridSpan w:val="2"/>
          </w:tcPr>
          <w:p w14:paraId="7EAE7354">
            <w:pPr>
              <w:pStyle w:val="39"/>
              <w:spacing w:before="60" w:line="220" w:lineRule="auto"/>
              <w:ind w:left="744"/>
              <w:rPr>
                <w:rFonts w:ascii="Times New Roman" w:hAnsi="Times New Roman" w:cs="Times New Roman"/>
                <w:color w:val="auto"/>
                <w:sz w:val="24"/>
                <w:szCs w:val="24"/>
              </w:rPr>
            </w:pPr>
            <w:r>
              <w:rPr>
                <w:rFonts w:ascii="Times New Roman" w:hAnsi="Times New Roman" w:cs="Times New Roman"/>
                <w:color w:val="auto"/>
                <w:spacing w:val="3"/>
                <w:sz w:val="24"/>
                <w:szCs w:val="24"/>
              </w:rPr>
              <w:t>参加工作时间</w:t>
            </w:r>
          </w:p>
        </w:tc>
        <w:tc>
          <w:tcPr>
            <w:tcW w:w="1488" w:type="dxa"/>
          </w:tcPr>
          <w:p w14:paraId="722253FC">
            <w:pPr>
              <w:rPr>
                <w:rFonts w:ascii="Times New Roman" w:hAnsi="Times New Roman" w:cs="Times New Roman"/>
                <w:color w:val="auto"/>
                <w:sz w:val="21"/>
              </w:rPr>
            </w:pPr>
          </w:p>
        </w:tc>
        <w:tc>
          <w:tcPr>
            <w:tcW w:w="3086" w:type="dxa"/>
            <w:gridSpan w:val="2"/>
          </w:tcPr>
          <w:p w14:paraId="6931A988">
            <w:pPr>
              <w:pStyle w:val="39"/>
              <w:spacing w:before="50" w:line="219" w:lineRule="auto"/>
              <w:ind w:left="484"/>
              <w:rPr>
                <w:rFonts w:ascii="Times New Roman" w:hAnsi="Times New Roman" w:cs="Times New Roman"/>
                <w:color w:val="auto"/>
                <w:sz w:val="24"/>
                <w:szCs w:val="24"/>
              </w:rPr>
            </w:pPr>
            <w:r>
              <w:rPr>
                <w:rFonts w:ascii="Times New Roman" w:hAnsi="Times New Roman" w:cs="Times New Roman"/>
                <w:color w:val="auto"/>
                <w:spacing w:val="1"/>
                <w:sz w:val="24"/>
                <w:szCs w:val="24"/>
              </w:rPr>
              <w:t>从事项目负责人年限</w:t>
            </w:r>
          </w:p>
        </w:tc>
        <w:tc>
          <w:tcPr>
            <w:tcW w:w="1483" w:type="dxa"/>
          </w:tcPr>
          <w:p w14:paraId="46B21FA3">
            <w:pPr>
              <w:rPr>
                <w:rFonts w:ascii="Times New Roman" w:hAnsi="Times New Roman" w:cs="Times New Roman"/>
                <w:color w:val="auto"/>
                <w:sz w:val="21"/>
              </w:rPr>
            </w:pPr>
          </w:p>
        </w:tc>
      </w:tr>
      <w:tr w14:paraId="11A22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952" w:type="dxa"/>
            <w:gridSpan w:val="2"/>
          </w:tcPr>
          <w:p w14:paraId="06A73E42">
            <w:pPr>
              <w:pStyle w:val="39"/>
              <w:spacing w:before="119" w:line="219" w:lineRule="auto"/>
              <w:ind w:left="144"/>
              <w:rPr>
                <w:rFonts w:ascii="Times New Roman" w:hAnsi="Times New Roman" w:cs="Times New Roman"/>
                <w:color w:val="auto"/>
                <w:sz w:val="24"/>
                <w:szCs w:val="24"/>
                <w:lang w:eastAsia="zh-CN"/>
              </w:rPr>
            </w:pPr>
            <w:r>
              <w:rPr>
                <w:rFonts w:ascii="Times New Roman" w:hAnsi="Times New Roman" w:cs="Times New Roman"/>
                <w:color w:val="auto"/>
                <w:spacing w:val="1"/>
                <w:sz w:val="24"/>
                <w:szCs w:val="24"/>
                <w:lang w:eastAsia="zh-CN"/>
              </w:rPr>
              <w:t>项目负责人资格证书编号</w:t>
            </w:r>
          </w:p>
        </w:tc>
        <w:tc>
          <w:tcPr>
            <w:tcW w:w="6057" w:type="dxa"/>
            <w:gridSpan w:val="4"/>
          </w:tcPr>
          <w:p w14:paraId="09FD0D9B">
            <w:pPr>
              <w:rPr>
                <w:rFonts w:ascii="Times New Roman" w:hAnsi="Times New Roman" w:cs="Times New Roman"/>
                <w:color w:val="auto"/>
                <w:sz w:val="21"/>
              </w:rPr>
            </w:pPr>
          </w:p>
        </w:tc>
      </w:tr>
      <w:tr w14:paraId="698ED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009" w:type="dxa"/>
            <w:gridSpan w:val="6"/>
          </w:tcPr>
          <w:p w14:paraId="63ED3E32">
            <w:pPr>
              <w:pStyle w:val="39"/>
              <w:spacing w:before="60" w:line="219" w:lineRule="auto"/>
              <w:ind w:left="3204"/>
              <w:rPr>
                <w:rFonts w:ascii="Times New Roman" w:hAnsi="Times New Roman" w:cs="Times New Roman"/>
                <w:color w:val="auto"/>
                <w:sz w:val="24"/>
                <w:szCs w:val="24"/>
                <w:lang w:eastAsia="zh-CN"/>
              </w:rPr>
            </w:pPr>
            <w:r>
              <w:rPr>
                <w:rFonts w:ascii="Times New Roman" w:hAnsi="Times New Roman" w:cs="Times New Roman"/>
                <w:color w:val="auto"/>
                <w:spacing w:val="-1"/>
                <w:sz w:val="24"/>
                <w:szCs w:val="24"/>
                <w:lang w:eastAsia="zh-CN"/>
              </w:rPr>
              <w:t>在建和已完工程项目情况</w:t>
            </w:r>
          </w:p>
        </w:tc>
      </w:tr>
      <w:tr w14:paraId="060AF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473" w:type="dxa"/>
          </w:tcPr>
          <w:p w14:paraId="2E296F06">
            <w:pPr>
              <w:spacing w:line="271" w:lineRule="auto"/>
              <w:rPr>
                <w:rFonts w:ascii="Times New Roman" w:hAnsi="Times New Roman" w:cs="Times New Roman"/>
                <w:color w:val="auto"/>
                <w:sz w:val="21"/>
              </w:rPr>
            </w:pPr>
          </w:p>
          <w:p w14:paraId="2782A925">
            <w:pPr>
              <w:pStyle w:val="39"/>
              <w:spacing w:before="78" w:line="220" w:lineRule="auto"/>
              <w:ind w:left="244"/>
              <w:rPr>
                <w:rFonts w:ascii="Times New Roman" w:hAnsi="Times New Roman" w:cs="Times New Roman"/>
                <w:color w:val="auto"/>
                <w:sz w:val="24"/>
                <w:szCs w:val="24"/>
              </w:rPr>
            </w:pPr>
            <w:r>
              <w:rPr>
                <w:rFonts w:ascii="Times New Roman" w:hAnsi="Times New Roman" w:cs="Times New Roman"/>
                <w:color w:val="auto"/>
                <w:spacing w:val="2"/>
                <w:sz w:val="24"/>
                <w:szCs w:val="24"/>
              </w:rPr>
              <w:t>建设单位</w:t>
            </w:r>
          </w:p>
        </w:tc>
        <w:tc>
          <w:tcPr>
            <w:tcW w:w="1479" w:type="dxa"/>
          </w:tcPr>
          <w:p w14:paraId="41349EFA">
            <w:pPr>
              <w:spacing w:line="271" w:lineRule="auto"/>
              <w:rPr>
                <w:rFonts w:ascii="Times New Roman" w:hAnsi="Times New Roman" w:cs="Times New Roman"/>
                <w:color w:val="auto"/>
                <w:sz w:val="21"/>
              </w:rPr>
            </w:pPr>
          </w:p>
          <w:p w14:paraId="1A66E3AD">
            <w:pPr>
              <w:pStyle w:val="39"/>
              <w:spacing w:before="78" w:line="220" w:lineRule="auto"/>
              <w:ind w:left="271"/>
              <w:rPr>
                <w:rFonts w:ascii="Times New Roman" w:hAnsi="Times New Roman" w:cs="Times New Roman"/>
                <w:color w:val="auto"/>
                <w:sz w:val="24"/>
                <w:szCs w:val="24"/>
              </w:rPr>
            </w:pPr>
            <w:r>
              <w:rPr>
                <w:rFonts w:ascii="Times New Roman" w:hAnsi="Times New Roman" w:cs="Times New Roman"/>
                <w:color w:val="auto"/>
                <w:spacing w:val="3"/>
                <w:sz w:val="24"/>
                <w:szCs w:val="24"/>
              </w:rPr>
              <w:t>项目名称</w:t>
            </w:r>
          </w:p>
        </w:tc>
        <w:tc>
          <w:tcPr>
            <w:tcW w:w="1488" w:type="dxa"/>
          </w:tcPr>
          <w:p w14:paraId="0FB3A541">
            <w:pPr>
              <w:spacing w:line="271" w:lineRule="auto"/>
              <w:rPr>
                <w:rFonts w:ascii="Times New Roman" w:hAnsi="Times New Roman" w:cs="Times New Roman"/>
                <w:color w:val="auto"/>
                <w:sz w:val="21"/>
              </w:rPr>
            </w:pPr>
          </w:p>
          <w:p w14:paraId="79F822CF">
            <w:pPr>
              <w:pStyle w:val="39"/>
              <w:spacing w:before="78" w:line="219" w:lineRule="auto"/>
              <w:ind w:left="252"/>
              <w:rPr>
                <w:rFonts w:ascii="Times New Roman" w:hAnsi="Times New Roman" w:cs="Times New Roman"/>
                <w:color w:val="auto"/>
                <w:sz w:val="24"/>
                <w:szCs w:val="24"/>
              </w:rPr>
            </w:pPr>
            <w:r>
              <w:rPr>
                <w:rFonts w:ascii="Times New Roman" w:hAnsi="Times New Roman" w:cs="Times New Roman"/>
                <w:color w:val="auto"/>
                <w:spacing w:val="2"/>
                <w:sz w:val="24"/>
                <w:szCs w:val="24"/>
              </w:rPr>
              <w:t>建设规模</w:t>
            </w:r>
          </w:p>
        </w:tc>
        <w:tc>
          <w:tcPr>
            <w:tcW w:w="1608" w:type="dxa"/>
          </w:tcPr>
          <w:p w14:paraId="1EDDB92E">
            <w:pPr>
              <w:pStyle w:val="39"/>
              <w:spacing w:before="71" w:line="326" w:lineRule="auto"/>
              <w:ind w:left="674" w:right="159" w:hanging="479"/>
              <w:rPr>
                <w:rFonts w:ascii="Times New Roman" w:hAnsi="Times New Roman" w:cs="Times New Roman"/>
                <w:color w:val="auto"/>
                <w:sz w:val="24"/>
                <w:szCs w:val="24"/>
              </w:rPr>
            </w:pPr>
            <w:r>
              <w:rPr>
                <w:rFonts w:ascii="Times New Roman" w:hAnsi="Times New Roman" w:cs="Times New Roman"/>
                <w:color w:val="auto"/>
                <w:spacing w:val="8"/>
                <w:sz w:val="24"/>
                <w:szCs w:val="24"/>
              </w:rPr>
              <w:t>开、竣工日</w:t>
            </w:r>
            <w:r>
              <w:rPr>
                <w:rFonts w:ascii="Times New Roman" w:hAnsi="Times New Roman" w:cs="Times New Roman"/>
                <w:color w:val="auto"/>
                <w:spacing w:val="2"/>
                <w:sz w:val="24"/>
                <w:szCs w:val="24"/>
              </w:rPr>
              <w:t xml:space="preserve"> </w:t>
            </w:r>
            <w:r>
              <w:rPr>
                <w:rFonts w:ascii="Times New Roman" w:hAnsi="Times New Roman" w:cs="Times New Roman"/>
                <w:color w:val="auto"/>
                <w:sz w:val="24"/>
                <w:szCs w:val="24"/>
              </w:rPr>
              <w:t>期</w:t>
            </w:r>
          </w:p>
        </w:tc>
        <w:tc>
          <w:tcPr>
            <w:tcW w:w="1478" w:type="dxa"/>
          </w:tcPr>
          <w:p w14:paraId="1CB97B8B">
            <w:pPr>
              <w:spacing w:line="271" w:lineRule="auto"/>
              <w:rPr>
                <w:rFonts w:ascii="Times New Roman" w:hAnsi="Times New Roman" w:cs="Times New Roman"/>
                <w:color w:val="auto"/>
                <w:sz w:val="21"/>
              </w:rPr>
            </w:pPr>
          </w:p>
          <w:p w14:paraId="2CA61266">
            <w:pPr>
              <w:pStyle w:val="39"/>
              <w:spacing w:before="78" w:line="219" w:lineRule="auto"/>
              <w:ind w:left="136"/>
              <w:rPr>
                <w:rFonts w:ascii="Times New Roman" w:hAnsi="Times New Roman" w:cs="Times New Roman"/>
                <w:color w:val="auto"/>
                <w:sz w:val="24"/>
                <w:szCs w:val="24"/>
              </w:rPr>
            </w:pPr>
            <w:r>
              <w:rPr>
                <w:rFonts w:ascii="Times New Roman" w:hAnsi="Times New Roman" w:cs="Times New Roman"/>
                <w:color w:val="auto"/>
                <w:spacing w:val="2"/>
                <w:sz w:val="24"/>
                <w:szCs w:val="24"/>
              </w:rPr>
              <w:t>在建或已完</w:t>
            </w:r>
          </w:p>
        </w:tc>
        <w:tc>
          <w:tcPr>
            <w:tcW w:w="1483" w:type="dxa"/>
          </w:tcPr>
          <w:p w14:paraId="4C9FEFA7">
            <w:pPr>
              <w:spacing w:line="271" w:lineRule="auto"/>
              <w:rPr>
                <w:rFonts w:ascii="Times New Roman" w:hAnsi="Times New Roman" w:cs="Times New Roman"/>
                <w:color w:val="auto"/>
                <w:sz w:val="21"/>
              </w:rPr>
            </w:pPr>
          </w:p>
          <w:p w14:paraId="230D7D02">
            <w:pPr>
              <w:pStyle w:val="39"/>
              <w:spacing w:before="78" w:line="220" w:lineRule="auto"/>
              <w:ind w:left="278"/>
              <w:rPr>
                <w:rFonts w:ascii="Times New Roman" w:hAnsi="Times New Roman" w:cs="Times New Roman"/>
                <w:color w:val="auto"/>
                <w:sz w:val="24"/>
                <w:szCs w:val="24"/>
              </w:rPr>
            </w:pPr>
            <w:r>
              <w:rPr>
                <w:rFonts w:ascii="Times New Roman" w:hAnsi="Times New Roman" w:cs="Times New Roman"/>
                <w:color w:val="auto"/>
                <w:spacing w:val="2"/>
                <w:sz w:val="24"/>
                <w:szCs w:val="24"/>
              </w:rPr>
              <w:t>工程质量</w:t>
            </w:r>
          </w:p>
        </w:tc>
      </w:tr>
      <w:tr w14:paraId="5133E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73" w:type="dxa"/>
          </w:tcPr>
          <w:p w14:paraId="6E955BE2">
            <w:pPr>
              <w:rPr>
                <w:rFonts w:ascii="Times New Roman" w:hAnsi="Times New Roman" w:cs="Times New Roman"/>
                <w:color w:val="auto"/>
                <w:sz w:val="21"/>
              </w:rPr>
            </w:pPr>
          </w:p>
        </w:tc>
        <w:tc>
          <w:tcPr>
            <w:tcW w:w="1479" w:type="dxa"/>
          </w:tcPr>
          <w:p w14:paraId="14ED4F21">
            <w:pPr>
              <w:rPr>
                <w:rFonts w:ascii="Times New Roman" w:hAnsi="Times New Roman" w:cs="Times New Roman"/>
                <w:color w:val="auto"/>
                <w:sz w:val="21"/>
              </w:rPr>
            </w:pPr>
          </w:p>
        </w:tc>
        <w:tc>
          <w:tcPr>
            <w:tcW w:w="1488" w:type="dxa"/>
          </w:tcPr>
          <w:p w14:paraId="089A2B9A">
            <w:pPr>
              <w:rPr>
                <w:rFonts w:ascii="Times New Roman" w:hAnsi="Times New Roman" w:cs="Times New Roman"/>
                <w:color w:val="auto"/>
                <w:sz w:val="21"/>
              </w:rPr>
            </w:pPr>
          </w:p>
        </w:tc>
        <w:tc>
          <w:tcPr>
            <w:tcW w:w="1608" w:type="dxa"/>
          </w:tcPr>
          <w:p w14:paraId="387C2DF9">
            <w:pPr>
              <w:rPr>
                <w:rFonts w:ascii="Times New Roman" w:hAnsi="Times New Roman" w:cs="Times New Roman"/>
                <w:color w:val="auto"/>
                <w:sz w:val="21"/>
              </w:rPr>
            </w:pPr>
          </w:p>
        </w:tc>
        <w:tc>
          <w:tcPr>
            <w:tcW w:w="1478" w:type="dxa"/>
          </w:tcPr>
          <w:p w14:paraId="07905848">
            <w:pPr>
              <w:rPr>
                <w:rFonts w:ascii="Times New Roman" w:hAnsi="Times New Roman" w:cs="Times New Roman"/>
                <w:color w:val="auto"/>
                <w:sz w:val="21"/>
              </w:rPr>
            </w:pPr>
          </w:p>
        </w:tc>
        <w:tc>
          <w:tcPr>
            <w:tcW w:w="1483" w:type="dxa"/>
          </w:tcPr>
          <w:p w14:paraId="62BCDF7F">
            <w:pPr>
              <w:rPr>
                <w:rFonts w:ascii="Times New Roman" w:hAnsi="Times New Roman" w:cs="Times New Roman"/>
                <w:color w:val="auto"/>
                <w:sz w:val="21"/>
              </w:rPr>
            </w:pPr>
          </w:p>
        </w:tc>
      </w:tr>
      <w:tr w14:paraId="008AB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73" w:type="dxa"/>
          </w:tcPr>
          <w:p w14:paraId="6015FB05">
            <w:pPr>
              <w:rPr>
                <w:rFonts w:ascii="Times New Roman" w:hAnsi="Times New Roman" w:cs="Times New Roman"/>
                <w:color w:val="auto"/>
                <w:sz w:val="21"/>
              </w:rPr>
            </w:pPr>
          </w:p>
        </w:tc>
        <w:tc>
          <w:tcPr>
            <w:tcW w:w="1479" w:type="dxa"/>
          </w:tcPr>
          <w:p w14:paraId="658354A0">
            <w:pPr>
              <w:rPr>
                <w:rFonts w:ascii="Times New Roman" w:hAnsi="Times New Roman" w:cs="Times New Roman"/>
                <w:color w:val="auto"/>
                <w:sz w:val="21"/>
              </w:rPr>
            </w:pPr>
          </w:p>
        </w:tc>
        <w:tc>
          <w:tcPr>
            <w:tcW w:w="1488" w:type="dxa"/>
          </w:tcPr>
          <w:p w14:paraId="101A5E53">
            <w:pPr>
              <w:rPr>
                <w:rFonts w:ascii="Times New Roman" w:hAnsi="Times New Roman" w:cs="Times New Roman"/>
                <w:color w:val="auto"/>
                <w:sz w:val="21"/>
              </w:rPr>
            </w:pPr>
          </w:p>
        </w:tc>
        <w:tc>
          <w:tcPr>
            <w:tcW w:w="1608" w:type="dxa"/>
          </w:tcPr>
          <w:p w14:paraId="05087945">
            <w:pPr>
              <w:rPr>
                <w:rFonts w:ascii="Times New Roman" w:hAnsi="Times New Roman" w:cs="Times New Roman"/>
                <w:color w:val="auto"/>
                <w:sz w:val="21"/>
              </w:rPr>
            </w:pPr>
          </w:p>
        </w:tc>
        <w:tc>
          <w:tcPr>
            <w:tcW w:w="1478" w:type="dxa"/>
          </w:tcPr>
          <w:p w14:paraId="190D3170">
            <w:pPr>
              <w:rPr>
                <w:rFonts w:ascii="Times New Roman" w:hAnsi="Times New Roman" w:cs="Times New Roman"/>
                <w:color w:val="auto"/>
                <w:sz w:val="21"/>
              </w:rPr>
            </w:pPr>
          </w:p>
        </w:tc>
        <w:tc>
          <w:tcPr>
            <w:tcW w:w="1483" w:type="dxa"/>
          </w:tcPr>
          <w:p w14:paraId="19E3B6B4">
            <w:pPr>
              <w:rPr>
                <w:rFonts w:ascii="Times New Roman" w:hAnsi="Times New Roman" w:cs="Times New Roman"/>
                <w:color w:val="auto"/>
                <w:sz w:val="21"/>
              </w:rPr>
            </w:pPr>
          </w:p>
        </w:tc>
      </w:tr>
      <w:tr w14:paraId="5BDCB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73" w:type="dxa"/>
          </w:tcPr>
          <w:p w14:paraId="5539639B">
            <w:pPr>
              <w:rPr>
                <w:rFonts w:ascii="Times New Roman" w:hAnsi="Times New Roman" w:cs="Times New Roman"/>
                <w:color w:val="auto"/>
                <w:sz w:val="21"/>
              </w:rPr>
            </w:pPr>
          </w:p>
        </w:tc>
        <w:tc>
          <w:tcPr>
            <w:tcW w:w="1479" w:type="dxa"/>
          </w:tcPr>
          <w:p w14:paraId="3ED13BA4">
            <w:pPr>
              <w:rPr>
                <w:rFonts w:ascii="Times New Roman" w:hAnsi="Times New Roman" w:cs="Times New Roman"/>
                <w:color w:val="auto"/>
                <w:sz w:val="21"/>
              </w:rPr>
            </w:pPr>
          </w:p>
        </w:tc>
        <w:tc>
          <w:tcPr>
            <w:tcW w:w="1488" w:type="dxa"/>
          </w:tcPr>
          <w:p w14:paraId="626AE701">
            <w:pPr>
              <w:rPr>
                <w:rFonts w:ascii="Times New Roman" w:hAnsi="Times New Roman" w:cs="Times New Roman"/>
                <w:color w:val="auto"/>
                <w:sz w:val="21"/>
              </w:rPr>
            </w:pPr>
          </w:p>
        </w:tc>
        <w:tc>
          <w:tcPr>
            <w:tcW w:w="1608" w:type="dxa"/>
          </w:tcPr>
          <w:p w14:paraId="36A2001D">
            <w:pPr>
              <w:rPr>
                <w:rFonts w:ascii="Times New Roman" w:hAnsi="Times New Roman" w:cs="Times New Roman"/>
                <w:color w:val="auto"/>
                <w:sz w:val="21"/>
              </w:rPr>
            </w:pPr>
          </w:p>
        </w:tc>
        <w:tc>
          <w:tcPr>
            <w:tcW w:w="1478" w:type="dxa"/>
          </w:tcPr>
          <w:p w14:paraId="50FB8EEA">
            <w:pPr>
              <w:rPr>
                <w:rFonts w:ascii="Times New Roman" w:hAnsi="Times New Roman" w:cs="Times New Roman"/>
                <w:color w:val="auto"/>
                <w:sz w:val="21"/>
              </w:rPr>
            </w:pPr>
          </w:p>
        </w:tc>
        <w:tc>
          <w:tcPr>
            <w:tcW w:w="1483" w:type="dxa"/>
          </w:tcPr>
          <w:p w14:paraId="450678B4">
            <w:pPr>
              <w:rPr>
                <w:rFonts w:ascii="Times New Roman" w:hAnsi="Times New Roman" w:cs="Times New Roman"/>
                <w:color w:val="auto"/>
                <w:sz w:val="21"/>
              </w:rPr>
            </w:pPr>
          </w:p>
        </w:tc>
      </w:tr>
      <w:tr w14:paraId="781F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73" w:type="dxa"/>
          </w:tcPr>
          <w:p w14:paraId="0CC6208D">
            <w:pPr>
              <w:rPr>
                <w:rFonts w:ascii="Times New Roman" w:hAnsi="Times New Roman" w:cs="Times New Roman"/>
                <w:color w:val="auto"/>
                <w:sz w:val="21"/>
              </w:rPr>
            </w:pPr>
          </w:p>
        </w:tc>
        <w:tc>
          <w:tcPr>
            <w:tcW w:w="1479" w:type="dxa"/>
          </w:tcPr>
          <w:p w14:paraId="48A06C90">
            <w:pPr>
              <w:rPr>
                <w:rFonts w:ascii="Times New Roman" w:hAnsi="Times New Roman" w:cs="Times New Roman"/>
                <w:color w:val="auto"/>
                <w:sz w:val="21"/>
              </w:rPr>
            </w:pPr>
          </w:p>
        </w:tc>
        <w:tc>
          <w:tcPr>
            <w:tcW w:w="1488" w:type="dxa"/>
          </w:tcPr>
          <w:p w14:paraId="4999C65F">
            <w:pPr>
              <w:rPr>
                <w:rFonts w:ascii="Times New Roman" w:hAnsi="Times New Roman" w:cs="Times New Roman"/>
                <w:color w:val="auto"/>
                <w:sz w:val="21"/>
              </w:rPr>
            </w:pPr>
          </w:p>
        </w:tc>
        <w:tc>
          <w:tcPr>
            <w:tcW w:w="1608" w:type="dxa"/>
          </w:tcPr>
          <w:p w14:paraId="674FD2E6">
            <w:pPr>
              <w:rPr>
                <w:rFonts w:ascii="Times New Roman" w:hAnsi="Times New Roman" w:cs="Times New Roman"/>
                <w:color w:val="auto"/>
                <w:sz w:val="21"/>
              </w:rPr>
            </w:pPr>
          </w:p>
        </w:tc>
        <w:tc>
          <w:tcPr>
            <w:tcW w:w="1478" w:type="dxa"/>
          </w:tcPr>
          <w:p w14:paraId="0AE07B72">
            <w:pPr>
              <w:rPr>
                <w:rFonts w:ascii="Times New Roman" w:hAnsi="Times New Roman" w:cs="Times New Roman"/>
                <w:color w:val="auto"/>
                <w:sz w:val="21"/>
              </w:rPr>
            </w:pPr>
          </w:p>
        </w:tc>
        <w:tc>
          <w:tcPr>
            <w:tcW w:w="1483" w:type="dxa"/>
          </w:tcPr>
          <w:p w14:paraId="3A6C09EF">
            <w:pPr>
              <w:rPr>
                <w:rFonts w:ascii="Times New Roman" w:hAnsi="Times New Roman" w:cs="Times New Roman"/>
                <w:color w:val="auto"/>
                <w:sz w:val="21"/>
              </w:rPr>
            </w:pPr>
          </w:p>
        </w:tc>
      </w:tr>
      <w:tr w14:paraId="601F6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73" w:type="dxa"/>
          </w:tcPr>
          <w:p w14:paraId="01A4C329">
            <w:pPr>
              <w:rPr>
                <w:rFonts w:ascii="Times New Roman" w:hAnsi="Times New Roman" w:cs="Times New Roman"/>
                <w:color w:val="auto"/>
                <w:sz w:val="21"/>
              </w:rPr>
            </w:pPr>
          </w:p>
        </w:tc>
        <w:tc>
          <w:tcPr>
            <w:tcW w:w="1479" w:type="dxa"/>
          </w:tcPr>
          <w:p w14:paraId="2A7C3867">
            <w:pPr>
              <w:rPr>
                <w:rFonts w:ascii="Times New Roman" w:hAnsi="Times New Roman" w:cs="Times New Roman"/>
                <w:color w:val="auto"/>
                <w:sz w:val="21"/>
              </w:rPr>
            </w:pPr>
          </w:p>
        </w:tc>
        <w:tc>
          <w:tcPr>
            <w:tcW w:w="1488" w:type="dxa"/>
          </w:tcPr>
          <w:p w14:paraId="01EFFF80">
            <w:pPr>
              <w:rPr>
                <w:rFonts w:ascii="Times New Roman" w:hAnsi="Times New Roman" w:cs="Times New Roman"/>
                <w:color w:val="auto"/>
                <w:sz w:val="21"/>
              </w:rPr>
            </w:pPr>
          </w:p>
        </w:tc>
        <w:tc>
          <w:tcPr>
            <w:tcW w:w="1608" w:type="dxa"/>
          </w:tcPr>
          <w:p w14:paraId="743D3CD1">
            <w:pPr>
              <w:rPr>
                <w:rFonts w:ascii="Times New Roman" w:hAnsi="Times New Roman" w:cs="Times New Roman"/>
                <w:color w:val="auto"/>
                <w:sz w:val="21"/>
              </w:rPr>
            </w:pPr>
          </w:p>
        </w:tc>
        <w:tc>
          <w:tcPr>
            <w:tcW w:w="1478" w:type="dxa"/>
          </w:tcPr>
          <w:p w14:paraId="76D0E4A2">
            <w:pPr>
              <w:rPr>
                <w:rFonts w:ascii="Times New Roman" w:hAnsi="Times New Roman" w:cs="Times New Roman"/>
                <w:color w:val="auto"/>
                <w:sz w:val="21"/>
              </w:rPr>
            </w:pPr>
          </w:p>
        </w:tc>
        <w:tc>
          <w:tcPr>
            <w:tcW w:w="1483" w:type="dxa"/>
          </w:tcPr>
          <w:p w14:paraId="0C376B9A">
            <w:pPr>
              <w:rPr>
                <w:rFonts w:ascii="Times New Roman" w:hAnsi="Times New Roman" w:cs="Times New Roman"/>
                <w:color w:val="auto"/>
                <w:sz w:val="21"/>
              </w:rPr>
            </w:pPr>
          </w:p>
        </w:tc>
      </w:tr>
      <w:tr w14:paraId="5E1B4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73" w:type="dxa"/>
          </w:tcPr>
          <w:p w14:paraId="4E8B85E4">
            <w:pPr>
              <w:rPr>
                <w:rFonts w:ascii="Times New Roman" w:hAnsi="Times New Roman" w:cs="Times New Roman"/>
                <w:color w:val="auto"/>
                <w:sz w:val="21"/>
              </w:rPr>
            </w:pPr>
          </w:p>
        </w:tc>
        <w:tc>
          <w:tcPr>
            <w:tcW w:w="1479" w:type="dxa"/>
          </w:tcPr>
          <w:p w14:paraId="7202829E">
            <w:pPr>
              <w:rPr>
                <w:rFonts w:ascii="Times New Roman" w:hAnsi="Times New Roman" w:cs="Times New Roman"/>
                <w:color w:val="auto"/>
                <w:sz w:val="21"/>
              </w:rPr>
            </w:pPr>
          </w:p>
        </w:tc>
        <w:tc>
          <w:tcPr>
            <w:tcW w:w="1488" w:type="dxa"/>
          </w:tcPr>
          <w:p w14:paraId="71E1A147">
            <w:pPr>
              <w:rPr>
                <w:rFonts w:ascii="Times New Roman" w:hAnsi="Times New Roman" w:cs="Times New Roman"/>
                <w:color w:val="auto"/>
                <w:sz w:val="21"/>
              </w:rPr>
            </w:pPr>
          </w:p>
        </w:tc>
        <w:tc>
          <w:tcPr>
            <w:tcW w:w="1608" w:type="dxa"/>
          </w:tcPr>
          <w:p w14:paraId="5B710B80">
            <w:pPr>
              <w:rPr>
                <w:rFonts w:ascii="Times New Roman" w:hAnsi="Times New Roman" w:cs="Times New Roman"/>
                <w:color w:val="auto"/>
                <w:sz w:val="21"/>
              </w:rPr>
            </w:pPr>
          </w:p>
        </w:tc>
        <w:tc>
          <w:tcPr>
            <w:tcW w:w="1478" w:type="dxa"/>
          </w:tcPr>
          <w:p w14:paraId="708F1604">
            <w:pPr>
              <w:rPr>
                <w:rFonts w:ascii="Times New Roman" w:hAnsi="Times New Roman" w:cs="Times New Roman"/>
                <w:color w:val="auto"/>
                <w:sz w:val="21"/>
              </w:rPr>
            </w:pPr>
          </w:p>
        </w:tc>
        <w:tc>
          <w:tcPr>
            <w:tcW w:w="1483" w:type="dxa"/>
          </w:tcPr>
          <w:p w14:paraId="7D8064C1">
            <w:pPr>
              <w:rPr>
                <w:rFonts w:ascii="Times New Roman" w:hAnsi="Times New Roman" w:cs="Times New Roman"/>
                <w:color w:val="auto"/>
                <w:sz w:val="21"/>
              </w:rPr>
            </w:pPr>
          </w:p>
        </w:tc>
      </w:tr>
      <w:tr w14:paraId="69284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73" w:type="dxa"/>
          </w:tcPr>
          <w:p w14:paraId="15A6F670">
            <w:pPr>
              <w:rPr>
                <w:rFonts w:ascii="Times New Roman" w:hAnsi="Times New Roman" w:cs="Times New Roman"/>
                <w:color w:val="auto"/>
                <w:sz w:val="21"/>
              </w:rPr>
            </w:pPr>
          </w:p>
        </w:tc>
        <w:tc>
          <w:tcPr>
            <w:tcW w:w="1479" w:type="dxa"/>
          </w:tcPr>
          <w:p w14:paraId="72C992CD">
            <w:pPr>
              <w:rPr>
                <w:rFonts w:ascii="Times New Roman" w:hAnsi="Times New Roman" w:cs="Times New Roman"/>
                <w:color w:val="auto"/>
                <w:sz w:val="21"/>
              </w:rPr>
            </w:pPr>
          </w:p>
        </w:tc>
        <w:tc>
          <w:tcPr>
            <w:tcW w:w="1488" w:type="dxa"/>
          </w:tcPr>
          <w:p w14:paraId="09FA8AA0">
            <w:pPr>
              <w:rPr>
                <w:rFonts w:ascii="Times New Roman" w:hAnsi="Times New Roman" w:cs="Times New Roman"/>
                <w:color w:val="auto"/>
                <w:sz w:val="21"/>
              </w:rPr>
            </w:pPr>
          </w:p>
        </w:tc>
        <w:tc>
          <w:tcPr>
            <w:tcW w:w="1608" w:type="dxa"/>
          </w:tcPr>
          <w:p w14:paraId="740825E5">
            <w:pPr>
              <w:rPr>
                <w:rFonts w:ascii="Times New Roman" w:hAnsi="Times New Roman" w:cs="Times New Roman"/>
                <w:color w:val="auto"/>
                <w:sz w:val="21"/>
              </w:rPr>
            </w:pPr>
          </w:p>
        </w:tc>
        <w:tc>
          <w:tcPr>
            <w:tcW w:w="1478" w:type="dxa"/>
          </w:tcPr>
          <w:p w14:paraId="75A66475">
            <w:pPr>
              <w:rPr>
                <w:rFonts w:ascii="Times New Roman" w:hAnsi="Times New Roman" w:cs="Times New Roman"/>
                <w:color w:val="auto"/>
                <w:sz w:val="21"/>
              </w:rPr>
            </w:pPr>
          </w:p>
        </w:tc>
        <w:tc>
          <w:tcPr>
            <w:tcW w:w="1483" w:type="dxa"/>
          </w:tcPr>
          <w:p w14:paraId="661C3714">
            <w:pPr>
              <w:rPr>
                <w:rFonts w:ascii="Times New Roman" w:hAnsi="Times New Roman" w:cs="Times New Roman"/>
                <w:color w:val="auto"/>
                <w:sz w:val="21"/>
              </w:rPr>
            </w:pPr>
          </w:p>
        </w:tc>
      </w:tr>
      <w:tr w14:paraId="5C9EB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73" w:type="dxa"/>
          </w:tcPr>
          <w:p w14:paraId="0E111749">
            <w:pPr>
              <w:rPr>
                <w:rFonts w:ascii="Times New Roman" w:hAnsi="Times New Roman" w:cs="Times New Roman"/>
                <w:color w:val="auto"/>
                <w:sz w:val="21"/>
              </w:rPr>
            </w:pPr>
          </w:p>
        </w:tc>
        <w:tc>
          <w:tcPr>
            <w:tcW w:w="1479" w:type="dxa"/>
          </w:tcPr>
          <w:p w14:paraId="39ABD172">
            <w:pPr>
              <w:rPr>
                <w:rFonts w:ascii="Times New Roman" w:hAnsi="Times New Roman" w:cs="Times New Roman"/>
                <w:color w:val="auto"/>
                <w:sz w:val="21"/>
              </w:rPr>
            </w:pPr>
          </w:p>
        </w:tc>
        <w:tc>
          <w:tcPr>
            <w:tcW w:w="1488" w:type="dxa"/>
          </w:tcPr>
          <w:p w14:paraId="64AB5F0B">
            <w:pPr>
              <w:rPr>
                <w:rFonts w:ascii="Times New Roman" w:hAnsi="Times New Roman" w:cs="Times New Roman"/>
                <w:color w:val="auto"/>
                <w:sz w:val="21"/>
              </w:rPr>
            </w:pPr>
          </w:p>
        </w:tc>
        <w:tc>
          <w:tcPr>
            <w:tcW w:w="1608" w:type="dxa"/>
          </w:tcPr>
          <w:p w14:paraId="56A19B77">
            <w:pPr>
              <w:rPr>
                <w:rFonts w:ascii="Times New Roman" w:hAnsi="Times New Roman" w:cs="Times New Roman"/>
                <w:color w:val="auto"/>
                <w:sz w:val="21"/>
              </w:rPr>
            </w:pPr>
          </w:p>
        </w:tc>
        <w:tc>
          <w:tcPr>
            <w:tcW w:w="1478" w:type="dxa"/>
          </w:tcPr>
          <w:p w14:paraId="01F783DF">
            <w:pPr>
              <w:rPr>
                <w:rFonts w:ascii="Times New Roman" w:hAnsi="Times New Roman" w:cs="Times New Roman"/>
                <w:color w:val="auto"/>
                <w:sz w:val="21"/>
              </w:rPr>
            </w:pPr>
          </w:p>
        </w:tc>
        <w:tc>
          <w:tcPr>
            <w:tcW w:w="1483" w:type="dxa"/>
          </w:tcPr>
          <w:p w14:paraId="5129EB70">
            <w:pPr>
              <w:rPr>
                <w:rFonts w:ascii="Times New Roman" w:hAnsi="Times New Roman" w:cs="Times New Roman"/>
                <w:color w:val="auto"/>
                <w:sz w:val="21"/>
              </w:rPr>
            </w:pPr>
          </w:p>
        </w:tc>
      </w:tr>
      <w:tr w14:paraId="5A421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473" w:type="dxa"/>
          </w:tcPr>
          <w:p w14:paraId="1EF3A2CF">
            <w:pPr>
              <w:rPr>
                <w:rFonts w:ascii="Times New Roman" w:hAnsi="Times New Roman" w:cs="Times New Roman"/>
                <w:color w:val="auto"/>
                <w:sz w:val="21"/>
              </w:rPr>
            </w:pPr>
          </w:p>
        </w:tc>
        <w:tc>
          <w:tcPr>
            <w:tcW w:w="1479" w:type="dxa"/>
          </w:tcPr>
          <w:p w14:paraId="06D6DF23">
            <w:pPr>
              <w:rPr>
                <w:rFonts w:ascii="Times New Roman" w:hAnsi="Times New Roman" w:cs="Times New Roman"/>
                <w:color w:val="auto"/>
                <w:sz w:val="21"/>
              </w:rPr>
            </w:pPr>
          </w:p>
        </w:tc>
        <w:tc>
          <w:tcPr>
            <w:tcW w:w="1488" w:type="dxa"/>
          </w:tcPr>
          <w:p w14:paraId="249FB027">
            <w:pPr>
              <w:rPr>
                <w:rFonts w:ascii="Times New Roman" w:hAnsi="Times New Roman" w:cs="Times New Roman"/>
                <w:color w:val="auto"/>
                <w:sz w:val="21"/>
              </w:rPr>
            </w:pPr>
          </w:p>
        </w:tc>
        <w:tc>
          <w:tcPr>
            <w:tcW w:w="1608" w:type="dxa"/>
          </w:tcPr>
          <w:p w14:paraId="5A055309">
            <w:pPr>
              <w:rPr>
                <w:rFonts w:ascii="Times New Roman" w:hAnsi="Times New Roman" w:cs="Times New Roman"/>
                <w:color w:val="auto"/>
                <w:sz w:val="21"/>
              </w:rPr>
            </w:pPr>
          </w:p>
        </w:tc>
        <w:tc>
          <w:tcPr>
            <w:tcW w:w="1478" w:type="dxa"/>
          </w:tcPr>
          <w:p w14:paraId="5C64B6D1">
            <w:pPr>
              <w:rPr>
                <w:rFonts w:ascii="Times New Roman" w:hAnsi="Times New Roman" w:cs="Times New Roman"/>
                <w:color w:val="auto"/>
                <w:sz w:val="21"/>
              </w:rPr>
            </w:pPr>
          </w:p>
        </w:tc>
        <w:tc>
          <w:tcPr>
            <w:tcW w:w="1483" w:type="dxa"/>
          </w:tcPr>
          <w:p w14:paraId="4F8390AB">
            <w:pPr>
              <w:rPr>
                <w:rFonts w:ascii="Times New Roman" w:hAnsi="Times New Roman" w:cs="Times New Roman"/>
                <w:color w:val="auto"/>
                <w:sz w:val="21"/>
              </w:rPr>
            </w:pPr>
          </w:p>
        </w:tc>
      </w:tr>
    </w:tbl>
    <w:p w14:paraId="57D2E51B">
      <w:pPr>
        <w:spacing w:before="78" w:line="219" w:lineRule="auto"/>
        <w:ind w:left="3028"/>
        <w:rPr>
          <w:rFonts w:ascii="Times New Roman" w:hAnsi="Times New Roman" w:eastAsia="宋体" w:cs="Times New Roman"/>
          <w:b/>
          <w:bCs/>
          <w:color w:val="auto"/>
          <w:spacing w:val="-4"/>
          <w:szCs w:val="24"/>
        </w:rPr>
        <w:sectPr>
          <w:footerReference r:id="rId26" w:type="first"/>
          <w:footerReference r:id="rId25" w:type="default"/>
          <w:pgSz w:w="11906" w:h="16838"/>
          <w:pgMar w:top="1440" w:right="1080" w:bottom="1440" w:left="1080" w:header="850" w:footer="992" w:gutter="0"/>
          <w:cols w:space="0" w:num="1"/>
          <w:titlePg/>
          <w:docGrid w:linePitch="312" w:charSpace="0"/>
        </w:sectPr>
      </w:pPr>
    </w:p>
    <w:p w14:paraId="3CB24C37">
      <w:pPr>
        <w:spacing w:before="78" w:line="219" w:lineRule="auto"/>
        <w:jc w:val="center"/>
        <w:rPr>
          <w:rFonts w:ascii="Times New Roman" w:hAnsi="Times New Roman" w:eastAsia="宋体" w:cs="Times New Roman"/>
          <w:b/>
          <w:bCs/>
          <w:color w:val="auto"/>
          <w:spacing w:val="-6"/>
          <w:sz w:val="32"/>
          <w:szCs w:val="32"/>
        </w:rPr>
      </w:pPr>
      <w:r>
        <w:rPr>
          <w:rFonts w:ascii="Times New Roman" w:hAnsi="Times New Roman" w:eastAsia="宋体" w:cs="Times New Roman"/>
          <w:b/>
          <w:bCs/>
          <w:color w:val="auto"/>
          <w:spacing w:val="-6"/>
          <w:sz w:val="32"/>
          <w:szCs w:val="32"/>
        </w:rPr>
        <w:t>表2　项目技术负责人简历表</w:t>
      </w:r>
    </w:p>
    <w:p w14:paraId="646D7E37">
      <w:pPr>
        <w:spacing w:line="145" w:lineRule="exact"/>
        <w:rPr>
          <w:rFonts w:ascii="Times New Roman" w:hAnsi="Times New Roman" w:cs="Times New Roman"/>
          <w:color w:val="auto"/>
        </w:rPr>
      </w:pPr>
    </w:p>
    <w:tbl>
      <w:tblPr>
        <w:tblStyle w:val="29"/>
        <w:tblW w:w="90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1488"/>
        <w:gridCol w:w="1468"/>
        <w:gridCol w:w="1608"/>
        <w:gridCol w:w="1479"/>
        <w:gridCol w:w="1493"/>
      </w:tblGrid>
      <w:tr w14:paraId="3341D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483" w:type="dxa"/>
          </w:tcPr>
          <w:p w14:paraId="05F7D38C">
            <w:pPr>
              <w:pStyle w:val="39"/>
              <w:spacing w:before="35" w:line="219" w:lineRule="auto"/>
              <w:ind w:left="494"/>
              <w:rPr>
                <w:rFonts w:ascii="Times New Roman" w:hAnsi="Times New Roman" w:cs="Times New Roman"/>
                <w:color w:val="auto"/>
                <w:sz w:val="24"/>
                <w:szCs w:val="24"/>
              </w:rPr>
            </w:pPr>
            <w:r>
              <w:rPr>
                <w:rFonts w:ascii="Times New Roman" w:hAnsi="Times New Roman" w:cs="Times New Roman"/>
                <w:color w:val="auto"/>
                <w:spacing w:val="15"/>
                <w:sz w:val="24"/>
                <w:szCs w:val="24"/>
              </w:rPr>
              <w:t>姓名</w:t>
            </w:r>
          </w:p>
        </w:tc>
        <w:tc>
          <w:tcPr>
            <w:tcW w:w="1488" w:type="dxa"/>
          </w:tcPr>
          <w:p w14:paraId="7D5AAC1F">
            <w:pPr>
              <w:rPr>
                <w:rFonts w:ascii="Times New Roman" w:hAnsi="Times New Roman" w:cs="Times New Roman"/>
                <w:color w:val="auto"/>
                <w:sz w:val="21"/>
              </w:rPr>
            </w:pPr>
          </w:p>
        </w:tc>
        <w:tc>
          <w:tcPr>
            <w:tcW w:w="1468" w:type="dxa"/>
          </w:tcPr>
          <w:p w14:paraId="3552752F">
            <w:pPr>
              <w:pStyle w:val="39"/>
              <w:spacing w:before="35" w:line="220" w:lineRule="auto"/>
              <w:ind w:left="483"/>
              <w:rPr>
                <w:rFonts w:ascii="Times New Roman" w:hAnsi="Times New Roman" w:cs="Times New Roman"/>
                <w:color w:val="auto"/>
                <w:sz w:val="24"/>
                <w:szCs w:val="24"/>
              </w:rPr>
            </w:pPr>
            <w:r>
              <w:rPr>
                <w:rFonts w:ascii="Times New Roman" w:hAnsi="Times New Roman" w:cs="Times New Roman"/>
                <w:color w:val="auto"/>
                <w:spacing w:val="9"/>
                <w:sz w:val="24"/>
                <w:szCs w:val="24"/>
              </w:rPr>
              <w:t>性别</w:t>
            </w:r>
          </w:p>
        </w:tc>
        <w:tc>
          <w:tcPr>
            <w:tcW w:w="1608" w:type="dxa"/>
          </w:tcPr>
          <w:p w14:paraId="40CC76DC">
            <w:pPr>
              <w:rPr>
                <w:rFonts w:ascii="Times New Roman" w:hAnsi="Times New Roman" w:cs="Times New Roman"/>
                <w:color w:val="auto"/>
                <w:sz w:val="21"/>
              </w:rPr>
            </w:pPr>
          </w:p>
        </w:tc>
        <w:tc>
          <w:tcPr>
            <w:tcW w:w="1479" w:type="dxa"/>
          </w:tcPr>
          <w:p w14:paraId="0EA40499">
            <w:pPr>
              <w:pStyle w:val="39"/>
              <w:spacing w:before="35" w:line="219" w:lineRule="auto"/>
              <w:ind w:left="498"/>
              <w:rPr>
                <w:rFonts w:ascii="Times New Roman" w:hAnsi="Times New Roman" w:cs="Times New Roman"/>
                <w:color w:val="auto"/>
                <w:sz w:val="24"/>
                <w:szCs w:val="24"/>
              </w:rPr>
            </w:pPr>
            <w:r>
              <w:rPr>
                <w:rFonts w:ascii="Times New Roman" w:hAnsi="Times New Roman" w:cs="Times New Roman"/>
                <w:color w:val="auto"/>
                <w:spacing w:val="-3"/>
                <w:sz w:val="24"/>
                <w:szCs w:val="24"/>
              </w:rPr>
              <w:t>年龄</w:t>
            </w:r>
          </w:p>
        </w:tc>
        <w:tc>
          <w:tcPr>
            <w:tcW w:w="1493" w:type="dxa"/>
          </w:tcPr>
          <w:p w14:paraId="03298911">
            <w:pPr>
              <w:rPr>
                <w:rFonts w:ascii="Times New Roman" w:hAnsi="Times New Roman" w:cs="Times New Roman"/>
                <w:color w:val="auto"/>
                <w:sz w:val="21"/>
              </w:rPr>
            </w:pPr>
          </w:p>
        </w:tc>
      </w:tr>
      <w:tr w14:paraId="57CC1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83" w:type="dxa"/>
          </w:tcPr>
          <w:p w14:paraId="428F3381">
            <w:pPr>
              <w:pStyle w:val="39"/>
              <w:spacing w:before="121" w:line="219" w:lineRule="auto"/>
              <w:ind w:left="494"/>
              <w:rPr>
                <w:rFonts w:ascii="Times New Roman" w:hAnsi="Times New Roman" w:cs="Times New Roman"/>
                <w:color w:val="auto"/>
                <w:sz w:val="24"/>
                <w:szCs w:val="24"/>
              </w:rPr>
            </w:pPr>
            <w:r>
              <w:rPr>
                <w:rFonts w:ascii="Times New Roman" w:hAnsi="Times New Roman" w:cs="Times New Roman"/>
                <w:color w:val="auto"/>
                <w:spacing w:val="5"/>
                <w:sz w:val="24"/>
                <w:szCs w:val="24"/>
              </w:rPr>
              <w:t>职务</w:t>
            </w:r>
          </w:p>
        </w:tc>
        <w:tc>
          <w:tcPr>
            <w:tcW w:w="1488" w:type="dxa"/>
          </w:tcPr>
          <w:p w14:paraId="70F66F7C">
            <w:pPr>
              <w:rPr>
                <w:rFonts w:ascii="Times New Roman" w:hAnsi="Times New Roman" w:cs="Times New Roman"/>
                <w:color w:val="auto"/>
                <w:sz w:val="21"/>
              </w:rPr>
            </w:pPr>
          </w:p>
        </w:tc>
        <w:tc>
          <w:tcPr>
            <w:tcW w:w="1468" w:type="dxa"/>
          </w:tcPr>
          <w:p w14:paraId="47884CA2">
            <w:pPr>
              <w:pStyle w:val="39"/>
              <w:spacing w:before="54" w:line="221" w:lineRule="auto"/>
              <w:ind w:left="483"/>
              <w:rPr>
                <w:rFonts w:ascii="Times New Roman" w:hAnsi="Times New Roman" w:cs="Times New Roman"/>
                <w:color w:val="auto"/>
                <w:sz w:val="24"/>
                <w:szCs w:val="24"/>
              </w:rPr>
            </w:pPr>
            <w:r>
              <w:rPr>
                <w:rFonts w:ascii="Times New Roman" w:hAnsi="Times New Roman" w:cs="Times New Roman"/>
                <w:color w:val="auto"/>
                <w:spacing w:val="6"/>
                <w:sz w:val="24"/>
                <w:szCs w:val="24"/>
              </w:rPr>
              <w:t>职称</w:t>
            </w:r>
          </w:p>
        </w:tc>
        <w:tc>
          <w:tcPr>
            <w:tcW w:w="1608" w:type="dxa"/>
          </w:tcPr>
          <w:p w14:paraId="3BC4637C">
            <w:pPr>
              <w:rPr>
                <w:rFonts w:ascii="Times New Roman" w:hAnsi="Times New Roman" w:cs="Times New Roman"/>
                <w:color w:val="auto"/>
                <w:sz w:val="21"/>
              </w:rPr>
            </w:pPr>
          </w:p>
        </w:tc>
        <w:tc>
          <w:tcPr>
            <w:tcW w:w="1479" w:type="dxa"/>
          </w:tcPr>
          <w:p w14:paraId="638AE6C7">
            <w:pPr>
              <w:pStyle w:val="39"/>
              <w:spacing w:before="42" w:line="221" w:lineRule="auto"/>
              <w:ind w:left="498"/>
              <w:rPr>
                <w:rFonts w:ascii="Times New Roman" w:hAnsi="Times New Roman" w:cs="Times New Roman"/>
                <w:color w:val="auto"/>
                <w:sz w:val="24"/>
                <w:szCs w:val="24"/>
              </w:rPr>
            </w:pPr>
            <w:r>
              <w:rPr>
                <w:rFonts w:ascii="Times New Roman" w:hAnsi="Times New Roman" w:cs="Times New Roman"/>
                <w:color w:val="auto"/>
                <w:spacing w:val="7"/>
                <w:sz w:val="24"/>
                <w:szCs w:val="24"/>
              </w:rPr>
              <w:t>学历</w:t>
            </w:r>
          </w:p>
        </w:tc>
        <w:tc>
          <w:tcPr>
            <w:tcW w:w="1493" w:type="dxa"/>
          </w:tcPr>
          <w:p w14:paraId="4E2F4B40">
            <w:pPr>
              <w:rPr>
                <w:rFonts w:ascii="Times New Roman" w:hAnsi="Times New Roman" w:cs="Times New Roman"/>
                <w:color w:val="auto"/>
                <w:sz w:val="21"/>
              </w:rPr>
            </w:pPr>
          </w:p>
        </w:tc>
      </w:tr>
      <w:tr w14:paraId="451EB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971" w:type="dxa"/>
            <w:gridSpan w:val="2"/>
          </w:tcPr>
          <w:p w14:paraId="3507437C">
            <w:pPr>
              <w:pStyle w:val="39"/>
              <w:spacing w:before="51" w:line="220" w:lineRule="auto"/>
              <w:ind w:left="754"/>
              <w:rPr>
                <w:rFonts w:ascii="Times New Roman" w:hAnsi="Times New Roman" w:cs="Times New Roman"/>
                <w:color w:val="auto"/>
                <w:sz w:val="24"/>
                <w:szCs w:val="24"/>
              </w:rPr>
            </w:pPr>
            <w:r>
              <w:rPr>
                <w:rFonts w:ascii="Times New Roman" w:hAnsi="Times New Roman" w:cs="Times New Roman"/>
                <w:color w:val="auto"/>
                <w:spacing w:val="3"/>
                <w:sz w:val="24"/>
                <w:szCs w:val="24"/>
              </w:rPr>
              <w:t>参加工作时间</w:t>
            </w:r>
          </w:p>
        </w:tc>
        <w:tc>
          <w:tcPr>
            <w:tcW w:w="1468" w:type="dxa"/>
          </w:tcPr>
          <w:p w14:paraId="5E90EFC5">
            <w:pPr>
              <w:rPr>
                <w:rFonts w:ascii="Times New Roman" w:hAnsi="Times New Roman" w:cs="Times New Roman"/>
                <w:color w:val="auto"/>
                <w:sz w:val="21"/>
              </w:rPr>
            </w:pPr>
          </w:p>
        </w:tc>
        <w:tc>
          <w:tcPr>
            <w:tcW w:w="3087" w:type="dxa"/>
            <w:gridSpan w:val="2"/>
          </w:tcPr>
          <w:p w14:paraId="4CD97F16">
            <w:pPr>
              <w:pStyle w:val="39"/>
              <w:spacing w:before="51" w:line="219" w:lineRule="auto"/>
              <w:ind w:left="486"/>
              <w:rPr>
                <w:rFonts w:ascii="Times New Roman" w:hAnsi="Times New Roman" w:cs="Times New Roman"/>
                <w:color w:val="auto"/>
                <w:sz w:val="24"/>
                <w:szCs w:val="24"/>
              </w:rPr>
            </w:pPr>
            <w:r>
              <w:rPr>
                <w:rFonts w:ascii="Times New Roman" w:hAnsi="Times New Roman" w:cs="Times New Roman"/>
                <w:color w:val="auto"/>
                <w:spacing w:val="1"/>
                <w:sz w:val="24"/>
                <w:szCs w:val="24"/>
              </w:rPr>
              <w:t>从事技术负责人年限</w:t>
            </w:r>
          </w:p>
        </w:tc>
        <w:tc>
          <w:tcPr>
            <w:tcW w:w="1493" w:type="dxa"/>
          </w:tcPr>
          <w:p w14:paraId="60A31D93">
            <w:pPr>
              <w:rPr>
                <w:rFonts w:ascii="Times New Roman" w:hAnsi="Times New Roman" w:cs="Times New Roman"/>
                <w:color w:val="auto"/>
                <w:sz w:val="21"/>
              </w:rPr>
            </w:pPr>
          </w:p>
        </w:tc>
      </w:tr>
      <w:tr w14:paraId="30511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971" w:type="dxa"/>
            <w:gridSpan w:val="2"/>
          </w:tcPr>
          <w:p w14:paraId="7FD2012A">
            <w:pPr>
              <w:pStyle w:val="39"/>
              <w:spacing w:before="110" w:line="219" w:lineRule="auto"/>
              <w:ind w:left="394"/>
              <w:rPr>
                <w:rFonts w:ascii="Times New Roman" w:hAnsi="Times New Roman" w:cs="Times New Roman"/>
                <w:color w:val="auto"/>
                <w:sz w:val="24"/>
                <w:szCs w:val="24"/>
              </w:rPr>
            </w:pPr>
            <w:r>
              <w:rPr>
                <w:rFonts w:ascii="Times New Roman" w:hAnsi="Times New Roman" w:cs="Times New Roman"/>
                <w:color w:val="auto"/>
                <w:spacing w:val="1"/>
                <w:sz w:val="24"/>
                <w:szCs w:val="24"/>
              </w:rPr>
              <w:t>资格证书名称及编号</w:t>
            </w:r>
          </w:p>
        </w:tc>
        <w:tc>
          <w:tcPr>
            <w:tcW w:w="6048" w:type="dxa"/>
            <w:gridSpan w:val="4"/>
          </w:tcPr>
          <w:p w14:paraId="36000FDA">
            <w:pPr>
              <w:rPr>
                <w:rFonts w:ascii="Times New Roman" w:hAnsi="Times New Roman" w:cs="Times New Roman"/>
                <w:color w:val="auto"/>
                <w:sz w:val="21"/>
              </w:rPr>
            </w:pPr>
          </w:p>
        </w:tc>
      </w:tr>
      <w:tr w14:paraId="7FEA0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019" w:type="dxa"/>
            <w:gridSpan w:val="6"/>
          </w:tcPr>
          <w:p w14:paraId="2931135D">
            <w:pPr>
              <w:pStyle w:val="39"/>
              <w:spacing w:before="72" w:line="219" w:lineRule="auto"/>
              <w:ind w:left="3214"/>
              <w:rPr>
                <w:rFonts w:ascii="Times New Roman" w:hAnsi="Times New Roman" w:cs="Times New Roman"/>
                <w:color w:val="auto"/>
                <w:sz w:val="24"/>
                <w:szCs w:val="24"/>
                <w:lang w:eastAsia="zh-CN"/>
              </w:rPr>
            </w:pPr>
            <w:r>
              <w:rPr>
                <w:rFonts w:ascii="Times New Roman" w:hAnsi="Times New Roman" w:cs="Times New Roman"/>
                <w:color w:val="auto"/>
                <w:spacing w:val="-1"/>
                <w:sz w:val="24"/>
                <w:szCs w:val="24"/>
                <w:lang w:eastAsia="zh-CN"/>
              </w:rPr>
              <w:t>在建和已完工程项目情况</w:t>
            </w:r>
          </w:p>
        </w:tc>
      </w:tr>
      <w:tr w14:paraId="3BE1C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483" w:type="dxa"/>
          </w:tcPr>
          <w:p w14:paraId="18E38105">
            <w:pPr>
              <w:pStyle w:val="39"/>
              <w:spacing w:before="62" w:line="220" w:lineRule="auto"/>
              <w:ind w:left="254"/>
              <w:rPr>
                <w:rFonts w:ascii="Times New Roman" w:hAnsi="Times New Roman" w:cs="Times New Roman"/>
                <w:color w:val="auto"/>
                <w:sz w:val="24"/>
                <w:szCs w:val="24"/>
              </w:rPr>
            </w:pPr>
            <w:r>
              <w:rPr>
                <w:rFonts w:ascii="Times New Roman" w:hAnsi="Times New Roman" w:cs="Times New Roman"/>
                <w:color w:val="auto"/>
                <w:spacing w:val="2"/>
                <w:sz w:val="24"/>
                <w:szCs w:val="24"/>
              </w:rPr>
              <w:t>建设单位</w:t>
            </w:r>
          </w:p>
        </w:tc>
        <w:tc>
          <w:tcPr>
            <w:tcW w:w="1488" w:type="dxa"/>
          </w:tcPr>
          <w:p w14:paraId="25A15E60">
            <w:pPr>
              <w:pStyle w:val="39"/>
              <w:spacing w:before="62" w:line="220" w:lineRule="auto"/>
              <w:ind w:left="251"/>
              <w:rPr>
                <w:rFonts w:ascii="Times New Roman" w:hAnsi="Times New Roman" w:cs="Times New Roman"/>
                <w:color w:val="auto"/>
                <w:sz w:val="24"/>
                <w:szCs w:val="24"/>
              </w:rPr>
            </w:pPr>
            <w:r>
              <w:rPr>
                <w:rFonts w:ascii="Times New Roman" w:hAnsi="Times New Roman" w:cs="Times New Roman"/>
                <w:color w:val="auto"/>
                <w:spacing w:val="3"/>
                <w:sz w:val="24"/>
                <w:szCs w:val="24"/>
              </w:rPr>
              <w:t>项目名称</w:t>
            </w:r>
          </w:p>
        </w:tc>
        <w:tc>
          <w:tcPr>
            <w:tcW w:w="1468" w:type="dxa"/>
          </w:tcPr>
          <w:p w14:paraId="5BD6D5C3">
            <w:pPr>
              <w:pStyle w:val="39"/>
              <w:spacing w:before="62" w:line="219" w:lineRule="auto"/>
              <w:ind w:left="243"/>
              <w:rPr>
                <w:rFonts w:ascii="Times New Roman" w:hAnsi="Times New Roman" w:cs="Times New Roman"/>
                <w:color w:val="auto"/>
                <w:sz w:val="24"/>
                <w:szCs w:val="24"/>
              </w:rPr>
            </w:pPr>
            <w:r>
              <w:rPr>
                <w:rFonts w:ascii="Times New Roman" w:hAnsi="Times New Roman" w:cs="Times New Roman"/>
                <w:color w:val="auto"/>
                <w:spacing w:val="2"/>
                <w:sz w:val="24"/>
                <w:szCs w:val="24"/>
              </w:rPr>
              <w:t>建设规模</w:t>
            </w:r>
          </w:p>
        </w:tc>
        <w:tc>
          <w:tcPr>
            <w:tcW w:w="1608" w:type="dxa"/>
          </w:tcPr>
          <w:p w14:paraId="3E5F433A">
            <w:pPr>
              <w:pStyle w:val="39"/>
              <w:spacing w:before="61" w:line="326" w:lineRule="auto"/>
              <w:ind w:left="675" w:right="158" w:hanging="479"/>
              <w:rPr>
                <w:rFonts w:ascii="Times New Roman" w:hAnsi="Times New Roman" w:cs="Times New Roman"/>
                <w:color w:val="auto"/>
                <w:sz w:val="24"/>
                <w:szCs w:val="24"/>
              </w:rPr>
            </w:pPr>
            <w:r>
              <w:rPr>
                <w:rFonts w:ascii="Times New Roman" w:hAnsi="Times New Roman" w:cs="Times New Roman"/>
                <w:color w:val="auto"/>
                <w:spacing w:val="8"/>
                <w:sz w:val="24"/>
                <w:szCs w:val="24"/>
              </w:rPr>
              <w:t>开、竣工日</w:t>
            </w:r>
            <w:r>
              <w:rPr>
                <w:rFonts w:ascii="Times New Roman" w:hAnsi="Times New Roman" w:cs="Times New Roman"/>
                <w:color w:val="auto"/>
                <w:spacing w:val="2"/>
                <w:sz w:val="24"/>
                <w:szCs w:val="24"/>
              </w:rPr>
              <w:t xml:space="preserve"> </w:t>
            </w:r>
            <w:r>
              <w:rPr>
                <w:rFonts w:ascii="Times New Roman" w:hAnsi="Times New Roman" w:cs="Times New Roman"/>
                <w:color w:val="auto"/>
                <w:sz w:val="24"/>
                <w:szCs w:val="24"/>
              </w:rPr>
              <w:t>期</w:t>
            </w:r>
          </w:p>
        </w:tc>
        <w:tc>
          <w:tcPr>
            <w:tcW w:w="1479" w:type="dxa"/>
          </w:tcPr>
          <w:p w14:paraId="419FE98E">
            <w:pPr>
              <w:pStyle w:val="39"/>
              <w:spacing w:before="42" w:line="219" w:lineRule="auto"/>
              <w:ind w:left="137"/>
              <w:rPr>
                <w:rFonts w:ascii="Times New Roman" w:hAnsi="Times New Roman" w:cs="Times New Roman"/>
                <w:color w:val="auto"/>
                <w:sz w:val="24"/>
                <w:szCs w:val="24"/>
              </w:rPr>
            </w:pPr>
            <w:r>
              <w:rPr>
                <w:rFonts w:ascii="Times New Roman" w:hAnsi="Times New Roman" w:cs="Times New Roman"/>
                <w:color w:val="auto"/>
                <w:spacing w:val="2"/>
                <w:sz w:val="24"/>
                <w:szCs w:val="24"/>
              </w:rPr>
              <w:t>在建或已完</w:t>
            </w:r>
          </w:p>
        </w:tc>
        <w:tc>
          <w:tcPr>
            <w:tcW w:w="1493" w:type="dxa"/>
          </w:tcPr>
          <w:p w14:paraId="3DEC413C">
            <w:pPr>
              <w:pStyle w:val="39"/>
              <w:spacing w:before="62" w:line="220" w:lineRule="auto"/>
              <w:ind w:left="278"/>
              <w:rPr>
                <w:rFonts w:ascii="Times New Roman" w:hAnsi="Times New Roman" w:cs="Times New Roman"/>
                <w:color w:val="auto"/>
                <w:sz w:val="24"/>
                <w:szCs w:val="24"/>
              </w:rPr>
            </w:pPr>
            <w:r>
              <w:rPr>
                <w:rFonts w:ascii="Times New Roman" w:hAnsi="Times New Roman" w:cs="Times New Roman"/>
                <w:color w:val="auto"/>
                <w:spacing w:val="2"/>
                <w:sz w:val="24"/>
                <w:szCs w:val="24"/>
              </w:rPr>
              <w:t>工程质量</w:t>
            </w:r>
          </w:p>
        </w:tc>
      </w:tr>
      <w:tr w14:paraId="05AD2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83" w:type="dxa"/>
          </w:tcPr>
          <w:p w14:paraId="5EE33A5E">
            <w:pPr>
              <w:rPr>
                <w:rFonts w:ascii="Times New Roman" w:hAnsi="Times New Roman" w:cs="Times New Roman"/>
                <w:color w:val="auto"/>
                <w:sz w:val="21"/>
              </w:rPr>
            </w:pPr>
          </w:p>
        </w:tc>
        <w:tc>
          <w:tcPr>
            <w:tcW w:w="1488" w:type="dxa"/>
          </w:tcPr>
          <w:p w14:paraId="3DB56A5B">
            <w:pPr>
              <w:rPr>
                <w:rFonts w:ascii="Times New Roman" w:hAnsi="Times New Roman" w:cs="Times New Roman"/>
                <w:color w:val="auto"/>
                <w:sz w:val="21"/>
              </w:rPr>
            </w:pPr>
          </w:p>
        </w:tc>
        <w:tc>
          <w:tcPr>
            <w:tcW w:w="1468" w:type="dxa"/>
          </w:tcPr>
          <w:p w14:paraId="5E808F4E">
            <w:pPr>
              <w:rPr>
                <w:rFonts w:ascii="Times New Roman" w:hAnsi="Times New Roman" w:cs="Times New Roman"/>
                <w:color w:val="auto"/>
                <w:sz w:val="21"/>
              </w:rPr>
            </w:pPr>
          </w:p>
        </w:tc>
        <w:tc>
          <w:tcPr>
            <w:tcW w:w="1608" w:type="dxa"/>
          </w:tcPr>
          <w:p w14:paraId="6C0899DE">
            <w:pPr>
              <w:rPr>
                <w:rFonts w:ascii="Times New Roman" w:hAnsi="Times New Roman" w:cs="Times New Roman"/>
                <w:color w:val="auto"/>
                <w:sz w:val="21"/>
              </w:rPr>
            </w:pPr>
          </w:p>
        </w:tc>
        <w:tc>
          <w:tcPr>
            <w:tcW w:w="1479" w:type="dxa"/>
          </w:tcPr>
          <w:p w14:paraId="46850583">
            <w:pPr>
              <w:rPr>
                <w:rFonts w:ascii="Times New Roman" w:hAnsi="Times New Roman" w:cs="Times New Roman"/>
                <w:color w:val="auto"/>
                <w:sz w:val="21"/>
              </w:rPr>
            </w:pPr>
          </w:p>
        </w:tc>
        <w:tc>
          <w:tcPr>
            <w:tcW w:w="1493" w:type="dxa"/>
          </w:tcPr>
          <w:p w14:paraId="21F9EF80">
            <w:pPr>
              <w:rPr>
                <w:rFonts w:ascii="Times New Roman" w:hAnsi="Times New Roman" w:cs="Times New Roman"/>
                <w:color w:val="auto"/>
                <w:sz w:val="21"/>
              </w:rPr>
            </w:pPr>
          </w:p>
        </w:tc>
      </w:tr>
      <w:tr w14:paraId="5B54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83" w:type="dxa"/>
          </w:tcPr>
          <w:p w14:paraId="7A401FF8">
            <w:pPr>
              <w:rPr>
                <w:rFonts w:ascii="Times New Roman" w:hAnsi="Times New Roman" w:cs="Times New Roman"/>
                <w:color w:val="auto"/>
                <w:sz w:val="21"/>
              </w:rPr>
            </w:pPr>
          </w:p>
        </w:tc>
        <w:tc>
          <w:tcPr>
            <w:tcW w:w="1488" w:type="dxa"/>
          </w:tcPr>
          <w:p w14:paraId="5248F567">
            <w:pPr>
              <w:rPr>
                <w:rFonts w:ascii="Times New Roman" w:hAnsi="Times New Roman" w:cs="Times New Roman"/>
                <w:color w:val="auto"/>
                <w:sz w:val="21"/>
              </w:rPr>
            </w:pPr>
          </w:p>
        </w:tc>
        <w:tc>
          <w:tcPr>
            <w:tcW w:w="1468" w:type="dxa"/>
          </w:tcPr>
          <w:p w14:paraId="7C052228">
            <w:pPr>
              <w:rPr>
                <w:rFonts w:ascii="Times New Roman" w:hAnsi="Times New Roman" w:cs="Times New Roman"/>
                <w:color w:val="auto"/>
                <w:sz w:val="21"/>
              </w:rPr>
            </w:pPr>
          </w:p>
        </w:tc>
        <w:tc>
          <w:tcPr>
            <w:tcW w:w="1608" w:type="dxa"/>
          </w:tcPr>
          <w:p w14:paraId="7053502C">
            <w:pPr>
              <w:rPr>
                <w:rFonts w:ascii="Times New Roman" w:hAnsi="Times New Roman" w:cs="Times New Roman"/>
                <w:color w:val="auto"/>
                <w:sz w:val="21"/>
              </w:rPr>
            </w:pPr>
          </w:p>
        </w:tc>
        <w:tc>
          <w:tcPr>
            <w:tcW w:w="1479" w:type="dxa"/>
          </w:tcPr>
          <w:p w14:paraId="5DCC88F7">
            <w:pPr>
              <w:rPr>
                <w:rFonts w:ascii="Times New Roman" w:hAnsi="Times New Roman" w:cs="Times New Roman"/>
                <w:color w:val="auto"/>
                <w:sz w:val="21"/>
              </w:rPr>
            </w:pPr>
          </w:p>
        </w:tc>
        <w:tc>
          <w:tcPr>
            <w:tcW w:w="1493" w:type="dxa"/>
          </w:tcPr>
          <w:p w14:paraId="3DEBC2E7">
            <w:pPr>
              <w:rPr>
                <w:rFonts w:ascii="Times New Roman" w:hAnsi="Times New Roman" w:cs="Times New Roman"/>
                <w:color w:val="auto"/>
                <w:sz w:val="21"/>
              </w:rPr>
            </w:pPr>
          </w:p>
        </w:tc>
      </w:tr>
      <w:tr w14:paraId="4AD39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83" w:type="dxa"/>
          </w:tcPr>
          <w:p w14:paraId="31B863D4">
            <w:pPr>
              <w:rPr>
                <w:rFonts w:ascii="Times New Roman" w:hAnsi="Times New Roman" w:cs="Times New Roman"/>
                <w:color w:val="auto"/>
                <w:sz w:val="21"/>
              </w:rPr>
            </w:pPr>
          </w:p>
        </w:tc>
        <w:tc>
          <w:tcPr>
            <w:tcW w:w="1488" w:type="dxa"/>
          </w:tcPr>
          <w:p w14:paraId="1D0F763B">
            <w:pPr>
              <w:rPr>
                <w:rFonts w:ascii="Times New Roman" w:hAnsi="Times New Roman" w:cs="Times New Roman"/>
                <w:color w:val="auto"/>
                <w:sz w:val="21"/>
              </w:rPr>
            </w:pPr>
          </w:p>
        </w:tc>
        <w:tc>
          <w:tcPr>
            <w:tcW w:w="1468" w:type="dxa"/>
          </w:tcPr>
          <w:p w14:paraId="0DFF8756">
            <w:pPr>
              <w:rPr>
                <w:rFonts w:ascii="Times New Roman" w:hAnsi="Times New Roman" w:cs="Times New Roman"/>
                <w:color w:val="auto"/>
                <w:sz w:val="21"/>
              </w:rPr>
            </w:pPr>
          </w:p>
        </w:tc>
        <w:tc>
          <w:tcPr>
            <w:tcW w:w="1608" w:type="dxa"/>
          </w:tcPr>
          <w:p w14:paraId="67FFBC73">
            <w:pPr>
              <w:rPr>
                <w:rFonts w:ascii="Times New Roman" w:hAnsi="Times New Roman" w:cs="Times New Roman"/>
                <w:color w:val="auto"/>
                <w:sz w:val="21"/>
              </w:rPr>
            </w:pPr>
          </w:p>
        </w:tc>
        <w:tc>
          <w:tcPr>
            <w:tcW w:w="1479" w:type="dxa"/>
          </w:tcPr>
          <w:p w14:paraId="6DF47A1C">
            <w:pPr>
              <w:rPr>
                <w:rFonts w:ascii="Times New Roman" w:hAnsi="Times New Roman" w:cs="Times New Roman"/>
                <w:color w:val="auto"/>
                <w:sz w:val="21"/>
              </w:rPr>
            </w:pPr>
          </w:p>
        </w:tc>
        <w:tc>
          <w:tcPr>
            <w:tcW w:w="1493" w:type="dxa"/>
          </w:tcPr>
          <w:p w14:paraId="7D5B814F">
            <w:pPr>
              <w:rPr>
                <w:rFonts w:ascii="Times New Roman" w:hAnsi="Times New Roman" w:cs="Times New Roman"/>
                <w:color w:val="auto"/>
                <w:sz w:val="21"/>
              </w:rPr>
            </w:pPr>
          </w:p>
        </w:tc>
      </w:tr>
      <w:tr w14:paraId="74A68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83" w:type="dxa"/>
          </w:tcPr>
          <w:p w14:paraId="7221039B">
            <w:pPr>
              <w:rPr>
                <w:rFonts w:ascii="Times New Roman" w:hAnsi="Times New Roman" w:cs="Times New Roman"/>
                <w:color w:val="auto"/>
                <w:sz w:val="21"/>
              </w:rPr>
            </w:pPr>
          </w:p>
        </w:tc>
        <w:tc>
          <w:tcPr>
            <w:tcW w:w="1488" w:type="dxa"/>
          </w:tcPr>
          <w:p w14:paraId="4FBF56F2">
            <w:pPr>
              <w:rPr>
                <w:rFonts w:ascii="Times New Roman" w:hAnsi="Times New Roman" w:cs="Times New Roman"/>
                <w:color w:val="auto"/>
                <w:sz w:val="21"/>
              </w:rPr>
            </w:pPr>
          </w:p>
        </w:tc>
        <w:tc>
          <w:tcPr>
            <w:tcW w:w="1468" w:type="dxa"/>
          </w:tcPr>
          <w:p w14:paraId="321BA71E">
            <w:pPr>
              <w:rPr>
                <w:rFonts w:ascii="Times New Roman" w:hAnsi="Times New Roman" w:cs="Times New Roman"/>
                <w:color w:val="auto"/>
                <w:sz w:val="21"/>
              </w:rPr>
            </w:pPr>
          </w:p>
        </w:tc>
        <w:tc>
          <w:tcPr>
            <w:tcW w:w="1608" w:type="dxa"/>
          </w:tcPr>
          <w:p w14:paraId="5B78BCDD">
            <w:pPr>
              <w:rPr>
                <w:rFonts w:ascii="Times New Roman" w:hAnsi="Times New Roman" w:cs="Times New Roman"/>
                <w:color w:val="auto"/>
                <w:sz w:val="21"/>
              </w:rPr>
            </w:pPr>
          </w:p>
        </w:tc>
        <w:tc>
          <w:tcPr>
            <w:tcW w:w="1479" w:type="dxa"/>
          </w:tcPr>
          <w:p w14:paraId="3BD49CCB">
            <w:pPr>
              <w:rPr>
                <w:rFonts w:ascii="Times New Roman" w:hAnsi="Times New Roman" w:cs="Times New Roman"/>
                <w:color w:val="auto"/>
                <w:sz w:val="21"/>
              </w:rPr>
            </w:pPr>
          </w:p>
        </w:tc>
        <w:tc>
          <w:tcPr>
            <w:tcW w:w="1493" w:type="dxa"/>
          </w:tcPr>
          <w:p w14:paraId="61A40F4F">
            <w:pPr>
              <w:rPr>
                <w:rFonts w:ascii="Times New Roman" w:hAnsi="Times New Roman" w:cs="Times New Roman"/>
                <w:color w:val="auto"/>
                <w:sz w:val="21"/>
              </w:rPr>
            </w:pPr>
          </w:p>
        </w:tc>
      </w:tr>
      <w:tr w14:paraId="2515B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83" w:type="dxa"/>
          </w:tcPr>
          <w:p w14:paraId="52D12254">
            <w:pPr>
              <w:rPr>
                <w:rFonts w:ascii="Times New Roman" w:hAnsi="Times New Roman" w:cs="Times New Roman"/>
                <w:color w:val="auto"/>
                <w:sz w:val="21"/>
              </w:rPr>
            </w:pPr>
          </w:p>
        </w:tc>
        <w:tc>
          <w:tcPr>
            <w:tcW w:w="1488" w:type="dxa"/>
          </w:tcPr>
          <w:p w14:paraId="2D21085C">
            <w:pPr>
              <w:rPr>
                <w:rFonts w:ascii="Times New Roman" w:hAnsi="Times New Roman" w:cs="Times New Roman"/>
                <w:color w:val="auto"/>
                <w:sz w:val="21"/>
              </w:rPr>
            </w:pPr>
          </w:p>
        </w:tc>
        <w:tc>
          <w:tcPr>
            <w:tcW w:w="1468" w:type="dxa"/>
          </w:tcPr>
          <w:p w14:paraId="50E45C30">
            <w:pPr>
              <w:rPr>
                <w:rFonts w:ascii="Times New Roman" w:hAnsi="Times New Roman" w:cs="Times New Roman"/>
                <w:color w:val="auto"/>
                <w:sz w:val="21"/>
              </w:rPr>
            </w:pPr>
          </w:p>
        </w:tc>
        <w:tc>
          <w:tcPr>
            <w:tcW w:w="1608" w:type="dxa"/>
          </w:tcPr>
          <w:p w14:paraId="3BAD1A3B">
            <w:pPr>
              <w:rPr>
                <w:rFonts w:ascii="Times New Roman" w:hAnsi="Times New Roman" w:cs="Times New Roman"/>
                <w:color w:val="auto"/>
                <w:sz w:val="21"/>
              </w:rPr>
            </w:pPr>
          </w:p>
        </w:tc>
        <w:tc>
          <w:tcPr>
            <w:tcW w:w="1479" w:type="dxa"/>
          </w:tcPr>
          <w:p w14:paraId="4192E4B7">
            <w:pPr>
              <w:rPr>
                <w:rFonts w:ascii="Times New Roman" w:hAnsi="Times New Roman" w:cs="Times New Roman"/>
                <w:color w:val="auto"/>
                <w:sz w:val="21"/>
              </w:rPr>
            </w:pPr>
          </w:p>
        </w:tc>
        <w:tc>
          <w:tcPr>
            <w:tcW w:w="1493" w:type="dxa"/>
          </w:tcPr>
          <w:p w14:paraId="2F5E640A">
            <w:pPr>
              <w:rPr>
                <w:rFonts w:ascii="Times New Roman" w:hAnsi="Times New Roman" w:cs="Times New Roman"/>
                <w:color w:val="auto"/>
                <w:sz w:val="21"/>
              </w:rPr>
            </w:pPr>
          </w:p>
        </w:tc>
      </w:tr>
      <w:tr w14:paraId="121A5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83" w:type="dxa"/>
          </w:tcPr>
          <w:p w14:paraId="43E00023">
            <w:pPr>
              <w:rPr>
                <w:rFonts w:ascii="Times New Roman" w:hAnsi="Times New Roman" w:cs="Times New Roman"/>
                <w:color w:val="auto"/>
                <w:sz w:val="21"/>
              </w:rPr>
            </w:pPr>
          </w:p>
        </w:tc>
        <w:tc>
          <w:tcPr>
            <w:tcW w:w="1488" w:type="dxa"/>
          </w:tcPr>
          <w:p w14:paraId="1A113F5E">
            <w:pPr>
              <w:rPr>
                <w:rFonts w:ascii="Times New Roman" w:hAnsi="Times New Roman" w:cs="Times New Roman"/>
                <w:color w:val="auto"/>
                <w:sz w:val="21"/>
              </w:rPr>
            </w:pPr>
          </w:p>
        </w:tc>
        <w:tc>
          <w:tcPr>
            <w:tcW w:w="1468" w:type="dxa"/>
          </w:tcPr>
          <w:p w14:paraId="5ED7E866">
            <w:pPr>
              <w:rPr>
                <w:rFonts w:ascii="Times New Roman" w:hAnsi="Times New Roman" w:cs="Times New Roman"/>
                <w:color w:val="auto"/>
                <w:sz w:val="21"/>
              </w:rPr>
            </w:pPr>
          </w:p>
        </w:tc>
        <w:tc>
          <w:tcPr>
            <w:tcW w:w="1608" w:type="dxa"/>
          </w:tcPr>
          <w:p w14:paraId="799782A9">
            <w:pPr>
              <w:rPr>
                <w:rFonts w:ascii="Times New Roman" w:hAnsi="Times New Roman" w:cs="Times New Roman"/>
                <w:color w:val="auto"/>
                <w:sz w:val="21"/>
              </w:rPr>
            </w:pPr>
          </w:p>
        </w:tc>
        <w:tc>
          <w:tcPr>
            <w:tcW w:w="1479" w:type="dxa"/>
          </w:tcPr>
          <w:p w14:paraId="1CE4EEDF">
            <w:pPr>
              <w:rPr>
                <w:rFonts w:ascii="Times New Roman" w:hAnsi="Times New Roman" w:cs="Times New Roman"/>
                <w:color w:val="auto"/>
                <w:sz w:val="21"/>
              </w:rPr>
            </w:pPr>
          </w:p>
        </w:tc>
        <w:tc>
          <w:tcPr>
            <w:tcW w:w="1493" w:type="dxa"/>
          </w:tcPr>
          <w:p w14:paraId="260EBEE3">
            <w:pPr>
              <w:rPr>
                <w:rFonts w:ascii="Times New Roman" w:hAnsi="Times New Roman" w:cs="Times New Roman"/>
                <w:color w:val="auto"/>
                <w:sz w:val="21"/>
              </w:rPr>
            </w:pPr>
          </w:p>
        </w:tc>
      </w:tr>
      <w:tr w14:paraId="45EDA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83" w:type="dxa"/>
          </w:tcPr>
          <w:p w14:paraId="419EC291">
            <w:pPr>
              <w:rPr>
                <w:rFonts w:ascii="Times New Roman" w:hAnsi="Times New Roman" w:cs="Times New Roman"/>
                <w:color w:val="auto"/>
                <w:sz w:val="21"/>
              </w:rPr>
            </w:pPr>
          </w:p>
        </w:tc>
        <w:tc>
          <w:tcPr>
            <w:tcW w:w="1488" w:type="dxa"/>
          </w:tcPr>
          <w:p w14:paraId="198AD545">
            <w:pPr>
              <w:rPr>
                <w:rFonts w:ascii="Times New Roman" w:hAnsi="Times New Roman" w:cs="Times New Roman"/>
                <w:color w:val="auto"/>
                <w:sz w:val="21"/>
              </w:rPr>
            </w:pPr>
          </w:p>
        </w:tc>
        <w:tc>
          <w:tcPr>
            <w:tcW w:w="1468" w:type="dxa"/>
          </w:tcPr>
          <w:p w14:paraId="68C31369">
            <w:pPr>
              <w:rPr>
                <w:rFonts w:ascii="Times New Roman" w:hAnsi="Times New Roman" w:cs="Times New Roman"/>
                <w:color w:val="auto"/>
                <w:sz w:val="21"/>
              </w:rPr>
            </w:pPr>
          </w:p>
        </w:tc>
        <w:tc>
          <w:tcPr>
            <w:tcW w:w="1608" w:type="dxa"/>
          </w:tcPr>
          <w:p w14:paraId="33247E91">
            <w:pPr>
              <w:rPr>
                <w:rFonts w:ascii="Times New Roman" w:hAnsi="Times New Roman" w:cs="Times New Roman"/>
                <w:color w:val="auto"/>
                <w:sz w:val="21"/>
              </w:rPr>
            </w:pPr>
          </w:p>
        </w:tc>
        <w:tc>
          <w:tcPr>
            <w:tcW w:w="1479" w:type="dxa"/>
          </w:tcPr>
          <w:p w14:paraId="7D5321F7">
            <w:pPr>
              <w:rPr>
                <w:rFonts w:ascii="Times New Roman" w:hAnsi="Times New Roman" w:cs="Times New Roman"/>
                <w:color w:val="auto"/>
                <w:sz w:val="21"/>
              </w:rPr>
            </w:pPr>
          </w:p>
        </w:tc>
        <w:tc>
          <w:tcPr>
            <w:tcW w:w="1493" w:type="dxa"/>
          </w:tcPr>
          <w:p w14:paraId="6E1BD2C8">
            <w:pPr>
              <w:rPr>
                <w:rFonts w:ascii="Times New Roman" w:hAnsi="Times New Roman" w:cs="Times New Roman"/>
                <w:color w:val="auto"/>
                <w:sz w:val="21"/>
              </w:rPr>
            </w:pPr>
          </w:p>
        </w:tc>
      </w:tr>
      <w:tr w14:paraId="4F3FA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1483" w:type="dxa"/>
          </w:tcPr>
          <w:p w14:paraId="271B027A">
            <w:pPr>
              <w:rPr>
                <w:rFonts w:ascii="Times New Roman" w:hAnsi="Times New Roman" w:cs="Times New Roman"/>
                <w:color w:val="auto"/>
                <w:sz w:val="21"/>
              </w:rPr>
            </w:pPr>
          </w:p>
        </w:tc>
        <w:tc>
          <w:tcPr>
            <w:tcW w:w="1488" w:type="dxa"/>
          </w:tcPr>
          <w:p w14:paraId="2320B3AA">
            <w:pPr>
              <w:rPr>
                <w:rFonts w:ascii="Times New Roman" w:hAnsi="Times New Roman" w:cs="Times New Roman"/>
                <w:color w:val="auto"/>
                <w:sz w:val="21"/>
              </w:rPr>
            </w:pPr>
          </w:p>
        </w:tc>
        <w:tc>
          <w:tcPr>
            <w:tcW w:w="1468" w:type="dxa"/>
          </w:tcPr>
          <w:p w14:paraId="74CBA2DA">
            <w:pPr>
              <w:rPr>
                <w:rFonts w:ascii="Times New Roman" w:hAnsi="Times New Roman" w:cs="Times New Roman"/>
                <w:color w:val="auto"/>
                <w:sz w:val="21"/>
              </w:rPr>
            </w:pPr>
          </w:p>
        </w:tc>
        <w:tc>
          <w:tcPr>
            <w:tcW w:w="1608" w:type="dxa"/>
          </w:tcPr>
          <w:p w14:paraId="5BAE0FC6">
            <w:pPr>
              <w:rPr>
                <w:rFonts w:ascii="Times New Roman" w:hAnsi="Times New Roman" w:cs="Times New Roman"/>
                <w:color w:val="auto"/>
                <w:sz w:val="21"/>
              </w:rPr>
            </w:pPr>
          </w:p>
        </w:tc>
        <w:tc>
          <w:tcPr>
            <w:tcW w:w="1479" w:type="dxa"/>
          </w:tcPr>
          <w:p w14:paraId="76DB45D6">
            <w:pPr>
              <w:rPr>
                <w:rFonts w:ascii="Times New Roman" w:hAnsi="Times New Roman" w:cs="Times New Roman"/>
                <w:color w:val="auto"/>
                <w:sz w:val="21"/>
              </w:rPr>
            </w:pPr>
          </w:p>
        </w:tc>
        <w:tc>
          <w:tcPr>
            <w:tcW w:w="1493" w:type="dxa"/>
          </w:tcPr>
          <w:p w14:paraId="140B0F33">
            <w:pPr>
              <w:rPr>
                <w:rFonts w:ascii="Times New Roman" w:hAnsi="Times New Roman" w:cs="Times New Roman"/>
                <w:color w:val="auto"/>
                <w:sz w:val="21"/>
              </w:rPr>
            </w:pPr>
          </w:p>
        </w:tc>
      </w:tr>
    </w:tbl>
    <w:p w14:paraId="67F63876">
      <w:pPr>
        <w:spacing w:before="78" w:line="219" w:lineRule="auto"/>
        <w:ind w:left="2495"/>
        <w:rPr>
          <w:rFonts w:ascii="Times New Roman" w:hAnsi="Times New Roman" w:eastAsia="宋体" w:cs="Times New Roman"/>
          <w:color w:val="auto"/>
          <w:spacing w:val="-3"/>
          <w:szCs w:val="24"/>
        </w:rPr>
      </w:pPr>
    </w:p>
    <w:p w14:paraId="6A0F2A69">
      <w:pPr>
        <w:spacing w:before="78" w:line="219" w:lineRule="auto"/>
        <w:ind w:left="2495"/>
        <w:rPr>
          <w:rFonts w:ascii="Times New Roman" w:hAnsi="Times New Roman" w:eastAsia="宋体" w:cs="Times New Roman"/>
          <w:color w:val="auto"/>
          <w:spacing w:val="-3"/>
          <w:szCs w:val="24"/>
        </w:rPr>
      </w:pPr>
    </w:p>
    <w:p w14:paraId="79DDA00B">
      <w:pPr>
        <w:spacing w:before="78" w:line="219" w:lineRule="auto"/>
        <w:ind w:left="2495"/>
        <w:rPr>
          <w:rFonts w:ascii="Times New Roman" w:hAnsi="Times New Roman" w:eastAsia="宋体" w:cs="Times New Roman"/>
          <w:color w:val="auto"/>
          <w:spacing w:val="-3"/>
          <w:szCs w:val="24"/>
        </w:rPr>
      </w:pPr>
    </w:p>
    <w:p w14:paraId="08424A24">
      <w:pPr>
        <w:spacing w:before="78" w:line="219" w:lineRule="auto"/>
        <w:ind w:left="2495"/>
        <w:rPr>
          <w:rFonts w:ascii="Times New Roman" w:hAnsi="Times New Roman" w:eastAsia="宋体" w:cs="Times New Roman"/>
          <w:color w:val="auto"/>
          <w:spacing w:val="-3"/>
          <w:szCs w:val="24"/>
        </w:rPr>
      </w:pPr>
    </w:p>
    <w:p w14:paraId="0C82560F">
      <w:pPr>
        <w:spacing w:before="78" w:line="219" w:lineRule="auto"/>
        <w:ind w:left="2495"/>
        <w:rPr>
          <w:rFonts w:ascii="Times New Roman" w:hAnsi="Times New Roman" w:eastAsia="宋体" w:cs="Times New Roman"/>
          <w:color w:val="auto"/>
          <w:spacing w:val="-3"/>
          <w:szCs w:val="24"/>
        </w:rPr>
      </w:pPr>
    </w:p>
    <w:p w14:paraId="6F46BD01">
      <w:pPr>
        <w:spacing w:before="78" w:line="219" w:lineRule="auto"/>
        <w:ind w:left="2495"/>
        <w:rPr>
          <w:rFonts w:ascii="Times New Roman" w:hAnsi="Times New Roman" w:eastAsia="宋体" w:cs="Times New Roman"/>
          <w:color w:val="auto"/>
          <w:spacing w:val="-3"/>
          <w:szCs w:val="24"/>
        </w:rPr>
      </w:pPr>
    </w:p>
    <w:p w14:paraId="7897D970">
      <w:pPr>
        <w:spacing w:before="78" w:line="219" w:lineRule="auto"/>
        <w:ind w:left="2495"/>
        <w:rPr>
          <w:rFonts w:ascii="Times New Roman" w:hAnsi="Times New Roman" w:eastAsia="宋体" w:cs="Times New Roman"/>
          <w:color w:val="auto"/>
          <w:spacing w:val="-3"/>
          <w:szCs w:val="24"/>
        </w:rPr>
      </w:pPr>
    </w:p>
    <w:p w14:paraId="42EA7483">
      <w:pPr>
        <w:spacing w:before="78" w:line="219" w:lineRule="auto"/>
        <w:ind w:left="2495"/>
        <w:rPr>
          <w:rFonts w:ascii="Times New Roman" w:hAnsi="Times New Roman" w:eastAsia="宋体" w:cs="Times New Roman"/>
          <w:color w:val="auto"/>
          <w:spacing w:val="-3"/>
          <w:szCs w:val="24"/>
        </w:rPr>
      </w:pPr>
    </w:p>
    <w:p w14:paraId="09147379">
      <w:pPr>
        <w:spacing w:before="78" w:line="219" w:lineRule="auto"/>
        <w:ind w:left="2495"/>
        <w:rPr>
          <w:rFonts w:ascii="Times New Roman" w:hAnsi="Times New Roman" w:eastAsia="宋体" w:cs="Times New Roman"/>
          <w:color w:val="auto"/>
          <w:spacing w:val="-3"/>
          <w:szCs w:val="24"/>
        </w:rPr>
      </w:pPr>
    </w:p>
    <w:p w14:paraId="4921EF3D">
      <w:pPr>
        <w:spacing w:before="78" w:line="219" w:lineRule="auto"/>
        <w:jc w:val="center"/>
        <w:rPr>
          <w:rFonts w:ascii="Times New Roman" w:hAnsi="Times New Roman" w:eastAsia="宋体" w:cs="Times New Roman"/>
          <w:b/>
          <w:bCs/>
          <w:color w:val="auto"/>
          <w:spacing w:val="-6"/>
          <w:sz w:val="32"/>
          <w:szCs w:val="32"/>
        </w:rPr>
      </w:pPr>
      <w:r>
        <w:rPr>
          <w:rFonts w:ascii="Times New Roman" w:hAnsi="Times New Roman" w:eastAsia="宋体" w:cs="Times New Roman"/>
          <w:b/>
          <w:bCs/>
          <w:color w:val="auto"/>
          <w:spacing w:val="-6"/>
          <w:sz w:val="32"/>
          <w:szCs w:val="32"/>
        </w:rPr>
        <w:t>表3　项目管理班子配备情况辅助说明资料</w:t>
      </w:r>
    </w:p>
    <w:p w14:paraId="6324E0B3">
      <w:pPr>
        <w:spacing w:line="133" w:lineRule="exact"/>
        <w:rPr>
          <w:rFonts w:ascii="Times New Roman" w:hAnsi="Times New Roman" w:cs="Times New Roman"/>
          <w:color w:val="auto"/>
        </w:rPr>
      </w:pPr>
    </w:p>
    <w:tbl>
      <w:tblPr>
        <w:tblStyle w:val="29"/>
        <w:tblW w:w="945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59"/>
      </w:tblGrid>
      <w:tr w14:paraId="2FFF336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239" w:hRule="atLeast"/>
        </w:trPr>
        <w:tc>
          <w:tcPr>
            <w:tcW w:w="9459" w:type="dxa"/>
          </w:tcPr>
          <w:p w14:paraId="4108B603">
            <w:pPr>
              <w:spacing w:before="78" w:line="219" w:lineRule="auto"/>
              <w:jc w:val="center"/>
              <w:rPr>
                <w:rFonts w:ascii="Times New Roman" w:hAnsi="Times New Roman" w:cs="Times New Roman"/>
                <w:color w:val="auto"/>
                <w:sz w:val="21"/>
              </w:rPr>
            </w:pPr>
          </w:p>
        </w:tc>
      </w:tr>
    </w:tbl>
    <w:p w14:paraId="07316B27">
      <w:pPr>
        <w:spacing w:before="83" w:line="331" w:lineRule="auto"/>
        <w:ind w:left="134" w:right="234"/>
        <w:rPr>
          <w:rFonts w:ascii="Times New Roman" w:hAnsi="Times New Roman" w:eastAsia="宋体" w:cs="Times New Roman"/>
          <w:color w:val="auto"/>
          <w:szCs w:val="24"/>
        </w:rPr>
      </w:pPr>
      <w:r>
        <w:rPr>
          <w:rFonts w:ascii="Times New Roman" w:hAnsi="Times New Roman" w:eastAsia="宋体" w:cs="Times New Roman"/>
          <w:color w:val="auto"/>
          <w:sz w:val="23"/>
          <w:szCs w:val="23"/>
        </w:rPr>
        <w:t>注：1、辅助说明资料主要包括管理班子机构设置、职责分工、有</w:t>
      </w:r>
      <w:r>
        <w:rPr>
          <w:rFonts w:ascii="Times New Roman" w:hAnsi="Times New Roman" w:eastAsia="宋体" w:cs="Times New Roman"/>
          <w:color w:val="auto"/>
          <w:spacing w:val="-1"/>
          <w:sz w:val="23"/>
          <w:szCs w:val="23"/>
        </w:rPr>
        <w:t>关复制件证明资料以及</w:t>
      </w:r>
      <w:r>
        <w:rPr>
          <w:rFonts w:ascii="Times New Roman" w:hAnsi="Times New Roman" w:eastAsia="宋体" w:cs="Times New Roman"/>
          <w:color w:val="auto"/>
          <w:sz w:val="23"/>
          <w:szCs w:val="23"/>
        </w:rPr>
        <w:t xml:space="preserve">   潜在承包</w:t>
      </w:r>
      <w:r>
        <w:rPr>
          <w:rFonts w:ascii="Times New Roman" w:hAnsi="Times New Roman" w:eastAsia="宋体" w:cs="Times New Roman"/>
          <w:color w:val="auto"/>
          <w:spacing w:val="-1"/>
          <w:szCs w:val="24"/>
        </w:rPr>
        <w:t>人认为有必要提供的资料。辅助说明资料格式不做统一规定，可自行设计。</w:t>
      </w:r>
    </w:p>
    <w:p w14:paraId="66472CBD">
      <w:pPr>
        <w:spacing w:before="57" w:line="219" w:lineRule="auto"/>
        <w:ind w:left="474"/>
        <w:rPr>
          <w:rFonts w:ascii="Times New Roman" w:hAnsi="Times New Roman" w:eastAsia="宋体" w:cs="Times New Roman"/>
          <w:color w:val="auto"/>
          <w:szCs w:val="24"/>
        </w:rPr>
      </w:pPr>
      <w:r>
        <w:rPr>
          <w:rFonts w:ascii="Times New Roman" w:hAnsi="Times New Roman" w:eastAsia="宋体" w:cs="Times New Roman"/>
          <w:color w:val="auto"/>
          <w:spacing w:val="7"/>
          <w:szCs w:val="24"/>
        </w:rPr>
        <w:t>2、项目管理班子配备情况辅助说明资料另附(</w:t>
      </w:r>
      <w:r>
        <w:rPr>
          <w:rFonts w:ascii="Times New Roman" w:hAnsi="Times New Roman" w:eastAsia="宋体" w:cs="Times New Roman"/>
          <w:color w:val="auto"/>
          <w:spacing w:val="6"/>
          <w:szCs w:val="24"/>
        </w:rPr>
        <w:t>与本响应文件一起装订)。</w:t>
      </w:r>
    </w:p>
    <w:p w14:paraId="08415D26">
      <w:pPr>
        <w:spacing w:before="104" w:line="219" w:lineRule="auto"/>
        <w:ind w:left="2365"/>
        <w:rPr>
          <w:rFonts w:ascii="Times New Roman" w:hAnsi="Times New Roman" w:eastAsia="宋体" w:cs="Times New Roman"/>
          <w:color w:val="auto"/>
          <w:spacing w:val="-3"/>
          <w:sz w:val="32"/>
          <w:szCs w:val="32"/>
        </w:rPr>
        <w:sectPr>
          <w:footerReference r:id="rId27" w:type="default"/>
          <w:pgSz w:w="11906" w:h="16838"/>
          <w:pgMar w:top="1440" w:right="1080" w:bottom="1440" w:left="1080" w:header="850" w:footer="850" w:gutter="0"/>
          <w:cols w:space="0" w:num="1"/>
          <w:titlePg/>
        </w:sectPr>
      </w:pPr>
    </w:p>
    <w:p w14:paraId="36FC833C">
      <w:pPr>
        <w:rPr>
          <w:rFonts w:ascii="Times New Roman" w:hAnsi="Times New Roman" w:cs="Times New Roman"/>
          <w:color w:val="auto"/>
        </w:rPr>
      </w:pPr>
    </w:p>
    <w:p w14:paraId="4F58D750">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业绩汇总表</w:t>
      </w:r>
    </w:p>
    <w:p w14:paraId="0E938267">
      <w:pPr>
        <w:kinsoku/>
        <w:topLinePunct/>
        <w:rPr>
          <w:rFonts w:ascii="Times New Roman" w:hAnsi="Times New Roman" w:cs="Times New Roman"/>
          <w:color w:val="auto"/>
        </w:rPr>
      </w:pPr>
    </w:p>
    <w:p w14:paraId="2A12BBB1">
      <w:pPr>
        <w:kinsoku/>
        <w:topLinePunct/>
        <w:rPr>
          <w:rFonts w:ascii="Times New Roman" w:hAnsi="Times New Roman" w:cs="Times New Roman"/>
          <w:color w:val="auto"/>
        </w:rPr>
      </w:pPr>
    </w:p>
    <w:p w14:paraId="44D90820">
      <w:pPr>
        <w:kinsoku/>
        <w:topLinePunct/>
        <w:spacing w:line="116" w:lineRule="exact"/>
        <w:rPr>
          <w:rFonts w:ascii="Times New Roman" w:hAnsi="Times New Roman" w:cs="Times New Roman"/>
          <w:color w:val="auto"/>
        </w:rPr>
      </w:pPr>
    </w:p>
    <w:tbl>
      <w:tblPr>
        <w:tblStyle w:val="29"/>
        <w:tblW w:w="9686"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841"/>
        <w:gridCol w:w="1407"/>
        <w:gridCol w:w="1273"/>
        <w:gridCol w:w="1736"/>
        <w:gridCol w:w="1258"/>
        <w:gridCol w:w="1430"/>
      </w:tblGrid>
      <w:tr w14:paraId="47247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8" w:hRule="atLeast"/>
        </w:trPr>
        <w:tc>
          <w:tcPr>
            <w:tcW w:w="741" w:type="dxa"/>
            <w:tcBorders>
              <w:left w:val="single" w:color="000000" w:sz="12" w:space="0"/>
              <w:right w:val="single" w:color="000000" w:sz="6" w:space="0"/>
            </w:tcBorders>
          </w:tcPr>
          <w:p w14:paraId="0F1FC408">
            <w:pPr>
              <w:kinsoku/>
              <w:topLinePunct/>
              <w:spacing w:line="262" w:lineRule="auto"/>
              <w:rPr>
                <w:rFonts w:ascii="Times New Roman" w:hAnsi="Times New Roman" w:cs="Times New Roman"/>
                <w:color w:val="auto"/>
                <w:sz w:val="21"/>
              </w:rPr>
            </w:pPr>
          </w:p>
          <w:p w14:paraId="2538444A">
            <w:pPr>
              <w:kinsoku/>
              <w:topLinePunct/>
              <w:spacing w:line="262" w:lineRule="auto"/>
              <w:rPr>
                <w:rFonts w:ascii="Times New Roman" w:hAnsi="Times New Roman" w:cs="Times New Roman"/>
                <w:color w:val="auto"/>
                <w:sz w:val="21"/>
              </w:rPr>
            </w:pPr>
          </w:p>
          <w:p w14:paraId="33841EA1">
            <w:pPr>
              <w:kinsoku/>
              <w:topLinePunct/>
              <w:spacing w:line="262" w:lineRule="auto"/>
              <w:rPr>
                <w:rFonts w:ascii="Times New Roman" w:hAnsi="Times New Roman" w:cs="Times New Roman"/>
                <w:color w:val="auto"/>
                <w:sz w:val="21"/>
              </w:rPr>
            </w:pPr>
          </w:p>
          <w:p w14:paraId="43D580B2">
            <w:pPr>
              <w:kinsoku/>
              <w:topLinePunct/>
              <w:spacing w:before="78" w:line="221" w:lineRule="auto"/>
              <w:ind w:left="113"/>
              <w:rPr>
                <w:rFonts w:ascii="Times New Roman" w:hAnsi="Times New Roman" w:eastAsia="宋体" w:cs="Times New Roman"/>
                <w:color w:val="auto"/>
                <w:szCs w:val="24"/>
              </w:rPr>
            </w:pPr>
            <w:r>
              <w:rPr>
                <w:rFonts w:ascii="Times New Roman" w:hAnsi="Times New Roman" w:eastAsia="宋体" w:cs="Times New Roman"/>
                <w:color w:val="auto"/>
                <w:spacing w:val="-2"/>
                <w:szCs w:val="24"/>
              </w:rPr>
              <w:t>序号</w:t>
            </w:r>
          </w:p>
        </w:tc>
        <w:tc>
          <w:tcPr>
            <w:tcW w:w="1841" w:type="dxa"/>
            <w:tcBorders>
              <w:left w:val="single" w:color="000000" w:sz="6" w:space="0"/>
              <w:right w:val="single" w:color="000000" w:sz="6" w:space="0"/>
            </w:tcBorders>
          </w:tcPr>
          <w:p w14:paraId="764A0688">
            <w:pPr>
              <w:kinsoku/>
              <w:topLinePunct/>
              <w:spacing w:line="262" w:lineRule="auto"/>
              <w:rPr>
                <w:rFonts w:ascii="Times New Roman" w:hAnsi="Times New Roman" w:cs="Times New Roman"/>
                <w:color w:val="auto"/>
                <w:sz w:val="21"/>
              </w:rPr>
            </w:pPr>
          </w:p>
          <w:p w14:paraId="3A529962">
            <w:pPr>
              <w:kinsoku/>
              <w:topLinePunct/>
              <w:spacing w:line="262" w:lineRule="auto"/>
              <w:rPr>
                <w:rFonts w:ascii="Times New Roman" w:hAnsi="Times New Roman" w:cs="Times New Roman"/>
                <w:color w:val="auto"/>
                <w:sz w:val="21"/>
              </w:rPr>
            </w:pPr>
          </w:p>
          <w:p w14:paraId="6B30A1CB">
            <w:pPr>
              <w:kinsoku/>
              <w:topLinePunct/>
              <w:spacing w:line="262" w:lineRule="auto"/>
              <w:rPr>
                <w:rFonts w:ascii="Times New Roman" w:hAnsi="Times New Roman" w:cs="Times New Roman"/>
                <w:color w:val="auto"/>
                <w:sz w:val="21"/>
              </w:rPr>
            </w:pPr>
          </w:p>
          <w:p w14:paraId="44BC952B">
            <w:pPr>
              <w:kinsoku/>
              <w:topLinePunct/>
              <w:spacing w:before="78" w:line="217" w:lineRule="auto"/>
              <w:ind w:left="75"/>
              <w:rPr>
                <w:rFonts w:ascii="Times New Roman" w:hAnsi="Times New Roman" w:eastAsia="宋体" w:cs="Times New Roman"/>
                <w:color w:val="auto"/>
                <w:szCs w:val="24"/>
              </w:rPr>
            </w:pPr>
            <w:r>
              <w:rPr>
                <w:rFonts w:ascii="Times New Roman" w:hAnsi="Times New Roman" w:eastAsia="宋体" w:cs="Times New Roman"/>
                <w:color w:val="auto"/>
                <w:spacing w:val="-2"/>
                <w:szCs w:val="24"/>
              </w:rPr>
              <w:t>该业</w:t>
            </w:r>
            <w:r>
              <w:rPr>
                <w:rFonts w:ascii="Times New Roman" w:hAnsi="Times New Roman" w:eastAsia="宋体" w:cs="Times New Roman"/>
                <w:color w:val="auto"/>
                <w:spacing w:val="-1"/>
                <w:szCs w:val="24"/>
              </w:rPr>
              <w:t>绩证明对象</w:t>
            </w:r>
          </w:p>
        </w:tc>
        <w:tc>
          <w:tcPr>
            <w:tcW w:w="1407" w:type="dxa"/>
            <w:tcBorders>
              <w:left w:val="single" w:color="000000" w:sz="6" w:space="0"/>
              <w:right w:val="single" w:color="000000" w:sz="6" w:space="0"/>
            </w:tcBorders>
          </w:tcPr>
          <w:p w14:paraId="21C91277">
            <w:pPr>
              <w:kinsoku/>
              <w:topLinePunct/>
              <w:spacing w:line="262" w:lineRule="auto"/>
              <w:rPr>
                <w:rFonts w:ascii="Times New Roman" w:hAnsi="Times New Roman" w:cs="Times New Roman"/>
                <w:color w:val="auto"/>
                <w:sz w:val="21"/>
              </w:rPr>
            </w:pPr>
          </w:p>
          <w:p w14:paraId="16E4F5D6">
            <w:pPr>
              <w:kinsoku/>
              <w:topLinePunct/>
              <w:spacing w:line="262" w:lineRule="auto"/>
              <w:rPr>
                <w:rFonts w:ascii="Times New Roman" w:hAnsi="Times New Roman" w:cs="Times New Roman"/>
                <w:color w:val="auto"/>
                <w:sz w:val="21"/>
              </w:rPr>
            </w:pPr>
          </w:p>
          <w:p w14:paraId="4155B5E7">
            <w:pPr>
              <w:kinsoku/>
              <w:topLinePunct/>
              <w:spacing w:line="262" w:lineRule="auto"/>
              <w:rPr>
                <w:rFonts w:ascii="Times New Roman" w:hAnsi="Times New Roman" w:cs="Times New Roman"/>
                <w:color w:val="auto"/>
                <w:sz w:val="21"/>
              </w:rPr>
            </w:pPr>
          </w:p>
          <w:p w14:paraId="7090A5E5">
            <w:pPr>
              <w:kinsoku/>
              <w:topLinePunct/>
              <w:spacing w:before="78" w:line="220" w:lineRule="auto"/>
              <w:ind w:left="217"/>
              <w:rPr>
                <w:rFonts w:ascii="Times New Roman" w:hAnsi="Times New Roman" w:eastAsia="宋体" w:cs="Times New Roman"/>
                <w:color w:val="auto"/>
                <w:szCs w:val="24"/>
              </w:rPr>
            </w:pPr>
            <w:r>
              <w:rPr>
                <w:rFonts w:ascii="Times New Roman" w:hAnsi="Times New Roman" w:eastAsia="宋体" w:cs="Times New Roman"/>
                <w:color w:val="auto"/>
                <w:spacing w:val="-3"/>
                <w:szCs w:val="24"/>
              </w:rPr>
              <w:t>项</w:t>
            </w:r>
            <w:r>
              <w:rPr>
                <w:rFonts w:ascii="Times New Roman" w:hAnsi="Times New Roman" w:eastAsia="宋体" w:cs="Times New Roman"/>
                <w:color w:val="auto"/>
                <w:spacing w:val="-2"/>
                <w:szCs w:val="24"/>
              </w:rPr>
              <w:t>目名称</w:t>
            </w:r>
          </w:p>
        </w:tc>
        <w:tc>
          <w:tcPr>
            <w:tcW w:w="1273" w:type="dxa"/>
            <w:tcBorders>
              <w:left w:val="single" w:color="000000" w:sz="6" w:space="0"/>
              <w:right w:val="single" w:color="000000" w:sz="6" w:space="0"/>
            </w:tcBorders>
          </w:tcPr>
          <w:p w14:paraId="2544D85D">
            <w:pPr>
              <w:kinsoku/>
              <w:topLinePunct/>
              <w:spacing w:line="311" w:lineRule="auto"/>
              <w:rPr>
                <w:rFonts w:ascii="Times New Roman" w:hAnsi="Times New Roman" w:cs="Times New Roman"/>
                <w:color w:val="auto"/>
                <w:sz w:val="21"/>
              </w:rPr>
            </w:pPr>
          </w:p>
          <w:p w14:paraId="1A9F6FAD">
            <w:pPr>
              <w:kinsoku/>
              <w:topLinePunct/>
              <w:spacing w:line="311" w:lineRule="auto"/>
              <w:rPr>
                <w:rFonts w:ascii="Times New Roman" w:hAnsi="Times New Roman" w:cs="Times New Roman"/>
                <w:color w:val="auto"/>
                <w:sz w:val="21"/>
              </w:rPr>
            </w:pPr>
          </w:p>
          <w:p w14:paraId="62CDC432">
            <w:pPr>
              <w:kinsoku/>
              <w:topLinePunct/>
              <w:spacing w:before="78" w:line="257" w:lineRule="auto"/>
              <w:ind w:left="55" w:right="28"/>
              <w:rPr>
                <w:rFonts w:ascii="Times New Roman" w:hAnsi="Times New Roman" w:eastAsia="宋体" w:cs="Times New Roman"/>
                <w:color w:val="auto"/>
                <w:szCs w:val="24"/>
              </w:rPr>
            </w:pPr>
            <w:r>
              <w:rPr>
                <w:rFonts w:ascii="Times New Roman" w:hAnsi="Times New Roman" w:eastAsia="宋体" w:cs="Times New Roman"/>
                <w:color w:val="auto"/>
                <w:spacing w:val="15"/>
                <w:szCs w:val="24"/>
              </w:rPr>
              <w:t>建设单位</w:t>
            </w:r>
            <w:r>
              <w:rPr>
                <w:rFonts w:ascii="Times New Roman" w:hAnsi="Times New Roman" w:eastAsia="宋体" w:cs="Times New Roman"/>
                <w:color w:val="auto"/>
                <w:spacing w:val="14"/>
                <w:szCs w:val="24"/>
              </w:rPr>
              <w:t>(</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8"/>
                <w:szCs w:val="24"/>
              </w:rPr>
              <w:t>项</w:t>
            </w:r>
            <w:r>
              <w:rPr>
                <w:rFonts w:ascii="Times New Roman" w:hAnsi="Times New Roman" w:eastAsia="宋体" w:cs="Times New Roman"/>
                <w:color w:val="auto"/>
                <w:spacing w:val="-5"/>
                <w:szCs w:val="24"/>
              </w:rPr>
              <w:t>目业主)</w:t>
            </w:r>
          </w:p>
        </w:tc>
        <w:tc>
          <w:tcPr>
            <w:tcW w:w="1736" w:type="dxa"/>
            <w:tcBorders>
              <w:left w:val="single" w:color="000000" w:sz="6" w:space="0"/>
              <w:right w:val="single" w:color="000000" w:sz="6" w:space="0"/>
            </w:tcBorders>
          </w:tcPr>
          <w:p w14:paraId="43839C47">
            <w:pPr>
              <w:kinsoku/>
              <w:topLinePunct/>
              <w:spacing w:line="458" w:lineRule="auto"/>
              <w:rPr>
                <w:rFonts w:ascii="Times New Roman" w:hAnsi="Times New Roman" w:cs="Times New Roman"/>
                <w:color w:val="auto"/>
                <w:sz w:val="21"/>
              </w:rPr>
            </w:pPr>
          </w:p>
          <w:p w14:paraId="13978E81">
            <w:pPr>
              <w:kinsoku/>
              <w:topLinePunct/>
              <w:spacing w:before="78" w:line="257" w:lineRule="auto"/>
              <w:ind w:left="44" w:right="6" w:firstLine="1"/>
              <w:rPr>
                <w:rFonts w:ascii="Times New Roman" w:hAnsi="Times New Roman" w:eastAsia="宋体" w:cs="Times New Roman"/>
                <w:color w:val="auto"/>
                <w:szCs w:val="24"/>
              </w:rPr>
            </w:pPr>
            <w:r>
              <w:rPr>
                <w:rFonts w:ascii="Times New Roman" w:hAnsi="Times New Roman" w:eastAsia="宋体" w:cs="Times New Roman"/>
                <w:color w:val="auto"/>
                <w:spacing w:val="-2"/>
                <w:szCs w:val="24"/>
              </w:rPr>
              <w:t>与评审有关</w:t>
            </w:r>
            <w:r>
              <w:rPr>
                <w:rFonts w:ascii="Times New Roman" w:hAnsi="Times New Roman" w:eastAsia="宋体" w:cs="Times New Roman"/>
                <w:color w:val="auto"/>
                <w:spacing w:val="-1"/>
                <w:szCs w:val="24"/>
              </w:rPr>
              <w:t>的时</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2"/>
                <w:szCs w:val="24"/>
              </w:rPr>
              <w:t>间、规</w:t>
            </w:r>
            <w:r>
              <w:rPr>
                <w:rFonts w:ascii="Times New Roman" w:hAnsi="Times New Roman" w:eastAsia="宋体" w:cs="Times New Roman"/>
                <w:color w:val="auto"/>
                <w:spacing w:val="-1"/>
                <w:szCs w:val="24"/>
              </w:rPr>
              <w:t>模、技术</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2"/>
                <w:szCs w:val="24"/>
              </w:rPr>
              <w:t>指标及</w:t>
            </w:r>
            <w:r>
              <w:rPr>
                <w:rFonts w:ascii="Times New Roman" w:hAnsi="Times New Roman" w:eastAsia="宋体" w:cs="Times New Roman"/>
                <w:color w:val="auto"/>
                <w:spacing w:val="-1"/>
                <w:szCs w:val="24"/>
              </w:rPr>
              <w:t>其他要求</w:t>
            </w:r>
          </w:p>
        </w:tc>
        <w:tc>
          <w:tcPr>
            <w:tcW w:w="1258" w:type="dxa"/>
            <w:tcBorders>
              <w:left w:val="single" w:color="000000" w:sz="6" w:space="0"/>
              <w:right w:val="single" w:color="000000" w:sz="6" w:space="0"/>
            </w:tcBorders>
          </w:tcPr>
          <w:p w14:paraId="5394C64E">
            <w:pPr>
              <w:kinsoku/>
              <w:topLinePunct/>
              <w:spacing w:line="311" w:lineRule="auto"/>
              <w:rPr>
                <w:rFonts w:ascii="Times New Roman" w:hAnsi="Times New Roman" w:cs="Times New Roman"/>
                <w:color w:val="auto"/>
                <w:sz w:val="21"/>
              </w:rPr>
            </w:pPr>
          </w:p>
          <w:p w14:paraId="7BDB3176">
            <w:pPr>
              <w:kinsoku/>
              <w:topLinePunct/>
              <w:spacing w:line="311" w:lineRule="auto"/>
              <w:rPr>
                <w:rFonts w:ascii="Times New Roman" w:hAnsi="Times New Roman" w:cs="Times New Roman"/>
                <w:color w:val="auto"/>
                <w:sz w:val="21"/>
              </w:rPr>
            </w:pPr>
          </w:p>
          <w:p w14:paraId="017B9471">
            <w:pPr>
              <w:kinsoku/>
              <w:topLinePunct/>
              <w:spacing w:before="78" w:line="257" w:lineRule="auto"/>
              <w:ind w:left="287" w:right="3" w:hanging="239"/>
              <w:rPr>
                <w:rFonts w:ascii="Times New Roman" w:hAnsi="Times New Roman" w:eastAsia="宋体" w:cs="Times New Roman"/>
                <w:color w:val="auto"/>
                <w:szCs w:val="24"/>
              </w:rPr>
            </w:pPr>
            <w:r>
              <w:rPr>
                <w:rFonts w:ascii="Times New Roman" w:hAnsi="Times New Roman" w:eastAsia="宋体" w:cs="Times New Roman"/>
                <w:color w:val="auto"/>
                <w:spacing w:val="-2"/>
                <w:szCs w:val="24"/>
              </w:rPr>
              <w:t>提交证明</w:t>
            </w:r>
            <w:r>
              <w:rPr>
                <w:rFonts w:ascii="Times New Roman" w:hAnsi="Times New Roman" w:eastAsia="宋体" w:cs="Times New Roman"/>
                <w:color w:val="auto"/>
                <w:spacing w:val="-1"/>
                <w:szCs w:val="24"/>
              </w:rPr>
              <w:t>材</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2"/>
                <w:szCs w:val="24"/>
              </w:rPr>
              <w:t>料内容</w:t>
            </w:r>
          </w:p>
        </w:tc>
        <w:tc>
          <w:tcPr>
            <w:tcW w:w="1430" w:type="dxa"/>
            <w:tcBorders>
              <w:left w:val="single" w:color="000000" w:sz="6" w:space="0"/>
              <w:right w:val="single" w:color="000000" w:sz="12" w:space="0"/>
            </w:tcBorders>
          </w:tcPr>
          <w:p w14:paraId="76C2A80D">
            <w:pPr>
              <w:kinsoku/>
              <w:topLinePunct/>
              <w:spacing w:line="310" w:lineRule="auto"/>
              <w:rPr>
                <w:rFonts w:ascii="Times New Roman" w:hAnsi="Times New Roman" w:cs="Times New Roman"/>
                <w:color w:val="auto"/>
                <w:sz w:val="21"/>
              </w:rPr>
            </w:pPr>
          </w:p>
          <w:p w14:paraId="174BE698">
            <w:pPr>
              <w:kinsoku/>
              <w:topLinePunct/>
              <w:spacing w:line="311" w:lineRule="auto"/>
              <w:rPr>
                <w:rFonts w:ascii="Times New Roman" w:hAnsi="Times New Roman" w:cs="Times New Roman"/>
                <w:color w:val="auto"/>
                <w:sz w:val="21"/>
              </w:rPr>
            </w:pPr>
          </w:p>
          <w:p w14:paraId="6D92EF8A">
            <w:pPr>
              <w:kinsoku/>
              <w:topLinePunct/>
              <w:spacing w:before="78" w:line="258" w:lineRule="auto"/>
              <w:ind w:left="385" w:right="88" w:hanging="260"/>
              <w:rPr>
                <w:rFonts w:ascii="Times New Roman" w:hAnsi="Times New Roman" w:eastAsia="宋体" w:cs="Times New Roman"/>
                <w:color w:val="auto"/>
                <w:szCs w:val="24"/>
              </w:rPr>
            </w:pPr>
            <w:r>
              <w:rPr>
                <w:rFonts w:ascii="Times New Roman" w:hAnsi="Times New Roman" w:eastAsia="宋体" w:cs="Times New Roman"/>
                <w:color w:val="auto"/>
                <w:spacing w:val="-2"/>
                <w:szCs w:val="24"/>
              </w:rPr>
              <w:t>在响应</w:t>
            </w:r>
            <w:r>
              <w:rPr>
                <w:rFonts w:ascii="Times New Roman" w:hAnsi="Times New Roman" w:eastAsia="宋体" w:cs="Times New Roman"/>
                <w:color w:val="auto"/>
                <w:spacing w:val="-1"/>
                <w:szCs w:val="24"/>
              </w:rPr>
              <w:t>文件</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7"/>
                <w:szCs w:val="24"/>
              </w:rPr>
              <w:t>的</w:t>
            </w:r>
            <w:r>
              <w:rPr>
                <w:rFonts w:ascii="Times New Roman" w:hAnsi="Times New Roman" w:eastAsia="宋体" w:cs="Times New Roman"/>
                <w:color w:val="auto"/>
                <w:spacing w:val="-6"/>
                <w:szCs w:val="24"/>
              </w:rPr>
              <w:t>位置</w:t>
            </w:r>
          </w:p>
        </w:tc>
      </w:tr>
      <w:tr w14:paraId="47C07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0" w:hRule="atLeast"/>
        </w:trPr>
        <w:tc>
          <w:tcPr>
            <w:tcW w:w="741" w:type="dxa"/>
            <w:tcBorders>
              <w:left w:val="single" w:color="000000" w:sz="12" w:space="0"/>
              <w:right w:val="single" w:color="000000" w:sz="6" w:space="0"/>
            </w:tcBorders>
          </w:tcPr>
          <w:p w14:paraId="4869027B">
            <w:pPr>
              <w:kinsoku/>
              <w:topLinePunct/>
              <w:spacing w:line="243" w:lineRule="auto"/>
              <w:rPr>
                <w:rFonts w:ascii="Times New Roman" w:hAnsi="Times New Roman" w:cs="Times New Roman"/>
                <w:color w:val="auto"/>
                <w:sz w:val="21"/>
              </w:rPr>
            </w:pPr>
          </w:p>
          <w:p w14:paraId="4B3465D0">
            <w:pPr>
              <w:kinsoku/>
              <w:topLinePunct/>
              <w:spacing w:line="243" w:lineRule="auto"/>
              <w:rPr>
                <w:rFonts w:ascii="Times New Roman" w:hAnsi="Times New Roman" w:cs="Times New Roman"/>
                <w:color w:val="auto"/>
                <w:sz w:val="21"/>
              </w:rPr>
            </w:pPr>
          </w:p>
          <w:p w14:paraId="7B594341">
            <w:pPr>
              <w:kinsoku/>
              <w:topLinePunct/>
              <w:spacing w:line="244" w:lineRule="auto"/>
              <w:rPr>
                <w:rFonts w:ascii="Times New Roman" w:hAnsi="Times New Roman" w:cs="Times New Roman"/>
                <w:color w:val="auto"/>
                <w:sz w:val="21"/>
              </w:rPr>
            </w:pPr>
          </w:p>
          <w:p w14:paraId="1AE9736D">
            <w:pPr>
              <w:kinsoku/>
              <w:topLinePunct/>
              <w:spacing w:before="78" w:line="185" w:lineRule="auto"/>
              <w:ind w:left="312"/>
              <w:rPr>
                <w:rFonts w:ascii="Times New Roman" w:hAnsi="Times New Roman" w:eastAsia="宋体" w:cs="Times New Roman"/>
                <w:color w:val="auto"/>
                <w:szCs w:val="24"/>
              </w:rPr>
            </w:pPr>
            <w:r>
              <w:rPr>
                <w:rFonts w:ascii="Times New Roman" w:hAnsi="Times New Roman" w:eastAsia="宋体" w:cs="Times New Roman"/>
                <w:color w:val="auto"/>
                <w:szCs w:val="24"/>
              </w:rPr>
              <w:t>1</w:t>
            </w:r>
          </w:p>
        </w:tc>
        <w:tc>
          <w:tcPr>
            <w:tcW w:w="1841" w:type="dxa"/>
            <w:tcBorders>
              <w:left w:val="single" w:color="000000" w:sz="6" w:space="0"/>
              <w:right w:val="single" w:color="000000" w:sz="6" w:space="0"/>
            </w:tcBorders>
          </w:tcPr>
          <w:p w14:paraId="3B3EF796">
            <w:pPr>
              <w:kinsoku/>
              <w:topLinePunct/>
              <w:spacing w:before="293" w:line="220" w:lineRule="auto"/>
              <w:ind w:left="71"/>
              <w:rPr>
                <w:rFonts w:ascii="Times New Roman" w:hAnsi="Times New Roman" w:eastAsia="宋体" w:cs="Times New Roman"/>
                <w:color w:val="auto"/>
                <w:szCs w:val="24"/>
              </w:rPr>
            </w:pPr>
            <w:r>
              <w:rPr>
                <w:rFonts w:ascii="Times New Roman" w:hAnsi="Times New Roman" w:eastAsia="宋体" w:cs="Times New Roman"/>
                <w:color w:val="auto"/>
                <w:spacing w:val="-1"/>
                <w:szCs w:val="24"/>
              </w:rPr>
              <w:t>例如：企业名</w:t>
            </w:r>
            <w:r>
              <w:rPr>
                <w:rFonts w:ascii="Times New Roman" w:hAnsi="Times New Roman" w:eastAsia="宋体" w:cs="Times New Roman"/>
                <w:color w:val="auto"/>
                <w:szCs w:val="24"/>
              </w:rPr>
              <w:t>称</w:t>
            </w:r>
          </w:p>
          <w:p w14:paraId="3FD3331E">
            <w:pPr>
              <w:kinsoku/>
              <w:topLinePunct/>
              <w:spacing w:before="28" w:line="217" w:lineRule="auto"/>
              <w:ind w:left="74"/>
              <w:rPr>
                <w:rFonts w:ascii="Times New Roman" w:hAnsi="Times New Roman" w:eastAsia="宋体" w:cs="Times New Roman"/>
                <w:color w:val="auto"/>
                <w:szCs w:val="24"/>
              </w:rPr>
            </w:pPr>
            <w:r>
              <w:rPr>
                <w:rFonts w:ascii="Times New Roman" w:hAnsi="Times New Roman" w:eastAsia="宋体" w:cs="Times New Roman"/>
                <w:color w:val="auto"/>
                <w:spacing w:val="-2"/>
                <w:szCs w:val="24"/>
              </w:rPr>
              <w:t>或</w:t>
            </w:r>
            <w:r>
              <w:rPr>
                <w:rFonts w:ascii="Times New Roman" w:hAnsi="Times New Roman" w:eastAsia="宋体" w:cs="Times New Roman"/>
                <w:color w:val="auto"/>
                <w:spacing w:val="-1"/>
                <w:szCs w:val="24"/>
              </w:rPr>
              <w:t>项目负责人或</w:t>
            </w:r>
          </w:p>
          <w:p w14:paraId="520C188B">
            <w:pPr>
              <w:kinsoku/>
              <w:topLinePunct/>
              <w:spacing w:before="48" w:line="217" w:lineRule="auto"/>
              <w:ind w:left="72"/>
              <w:rPr>
                <w:rFonts w:ascii="Times New Roman" w:hAnsi="Times New Roman" w:eastAsia="宋体" w:cs="Times New Roman"/>
                <w:color w:val="auto"/>
                <w:szCs w:val="24"/>
              </w:rPr>
            </w:pPr>
            <w:r>
              <w:rPr>
                <w:rFonts w:ascii="Times New Roman" w:hAnsi="Times New Roman" w:eastAsia="宋体" w:cs="Times New Roman"/>
                <w:color w:val="auto"/>
                <w:spacing w:val="-1"/>
                <w:szCs w:val="24"/>
              </w:rPr>
              <w:t>技术负责人名字</w:t>
            </w:r>
          </w:p>
          <w:p w14:paraId="43F8CF2E">
            <w:pPr>
              <w:kinsoku/>
              <w:topLinePunct/>
              <w:spacing w:before="32" w:line="220" w:lineRule="auto"/>
              <w:ind w:left="794"/>
              <w:rPr>
                <w:rFonts w:ascii="Times New Roman" w:hAnsi="Times New Roman" w:eastAsia="宋体" w:cs="Times New Roman"/>
                <w:color w:val="auto"/>
                <w:szCs w:val="24"/>
              </w:rPr>
            </w:pPr>
            <w:r>
              <w:rPr>
                <w:rFonts w:ascii="Times New Roman" w:hAnsi="Times New Roman" w:eastAsia="宋体" w:cs="Times New Roman"/>
                <w:color w:val="auto"/>
                <w:szCs w:val="24"/>
              </w:rPr>
              <w:t>等</w:t>
            </w:r>
          </w:p>
        </w:tc>
        <w:tc>
          <w:tcPr>
            <w:tcW w:w="1407" w:type="dxa"/>
            <w:tcBorders>
              <w:left w:val="single" w:color="000000" w:sz="6" w:space="0"/>
              <w:right w:val="single" w:color="000000" w:sz="6" w:space="0"/>
            </w:tcBorders>
          </w:tcPr>
          <w:p w14:paraId="6B9DD9D7">
            <w:pPr>
              <w:kinsoku/>
              <w:topLinePunct/>
              <w:spacing w:line="263" w:lineRule="auto"/>
              <w:rPr>
                <w:rFonts w:ascii="Times New Roman" w:hAnsi="Times New Roman" w:cs="Times New Roman"/>
                <w:color w:val="auto"/>
                <w:sz w:val="21"/>
              </w:rPr>
            </w:pPr>
          </w:p>
          <w:p w14:paraId="0B6B9648">
            <w:pPr>
              <w:kinsoku/>
              <w:topLinePunct/>
              <w:spacing w:line="264" w:lineRule="auto"/>
              <w:rPr>
                <w:rFonts w:ascii="Times New Roman" w:hAnsi="Times New Roman" w:cs="Times New Roman"/>
                <w:color w:val="auto"/>
                <w:sz w:val="21"/>
              </w:rPr>
            </w:pPr>
          </w:p>
          <w:p w14:paraId="43DCA5CC">
            <w:pPr>
              <w:kinsoku/>
              <w:topLinePunct/>
              <w:spacing w:before="78" w:line="268" w:lineRule="auto"/>
              <w:ind w:left="451" w:right="106" w:hanging="359"/>
              <w:rPr>
                <w:rFonts w:ascii="Times New Roman" w:hAnsi="Times New Roman" w:eastAsia="宋体" w:cs="Times New Roman"/>
                <w:color w:val="auto"/>
                <w:szCs w:val="24"/>
              </w:rPr>
            </w:pPr>
            <w:r>
              <w:rPr>
                <w:rFonts w:ascii="Times New Roman" w:hAnsi="Times New Roman" w:eastAsia="宋体" w:cs="Times New Roman"/>
                <w:color w:val="auto"/>
                <w:spacing w:val="-20"/>
                <w:szCs w:val="24"/>
              </w:rPr>
              <w:t>例</w:t>
            </w:r>
            <w:r>
              <w:rPr>
                <w:rFonts w:ascii="Times New Roman" w:hAnsi="Times New Roman" w:eastAsia="宋体" w:cs="Times New Roman"/>
                <w:color w:val="auto"/>
                <w:spacing w:val="-18"/>
                <w:szCs w:val="24"/>
              </w:rPr>
              <w:t>如： XX工</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2"/>
                <w:szCs w:val="24"/>
              </w:rPr>
              <w:t>程等</w:t>
            </w:r>
          </w:p>
        </w:tc>
        <w:tc>
          <w:tcPr>
            <w:tcW w:w="1273" w:type="dxa"/>
            <w:tcBorders>
              <w:left w:val="single" w:color="000000" w:sz="6" w:space="0"/>
              <w:right w:val="single" w:color="000000" w:sz="6" w:space="0"/>
            </w:tcBorders>
          </w:tcPr>
          <w:p w14:paraId="21D1146B">
            <w:pPr>
              <w:kinsoku/>
              <w:topLinePunct/>
              <w:spacing w:line="377" w:lineRule="auto"/>
              <w:rPr>
                <w:rFonts w:ascii="Times New Roman" w:hAnsi="Times New Roman" w:cs="Times New Roman"/>
                <w:color w:val="auto"/>
                <w:sz w:val="21"/>
              </w:rPr>
            </w:pPr>
          </w:p>
          <w:p w14:paraId="3E130FFC">
            <w:pPr>
              <w:kinsoku/>
              <w:topLinePunct/>
              <w:spacing w:before="78" w:line="220" w:lineRule="auto"/>
              <w:ind w:left="52"/>
              <w:rPr>
                <w:rFonts w:ascii="Times New Roman" w:hAnsi="Times New Roman" w:eastAsia="宋体" w:cs="Times New Roman"/>
                <w:color w:val="auto"/>
                <w:szCs w:val="24"/>
              </w:rPr>
            </w:pPr>
            <w:r>
              <w:rPr>
                <w:rFonts w:ascii="Times New Roman" w:hAnsi="Times New Roman" w:eastAsia="宋体" w:cs="Times New Roman"/>
                <w:color w:val="auto"/>
                <w:spacing w:val="-21"/>
                <w:szCs w:val="24"/>
              </w:rPr>
              <w:t>例</w:t>
            </w:r>
            <w:r>
              <w:rPr>
                <w:rFonts w:ascii="Times New Roman" w:hAnsi="Times New Roman" w:eastAsia="宋体" w:cs="Times New Roman"/>
                <w:color w:val="auto"/>
                <w:spacing w:val="-18"/>
                <w:szCs w:val="24"/>
              </w:rPr>
              <w:t>如： XX公</w:t>
            </w:r>
          </w:p>
          <w:p w14:paraId="1D9BA4F5">
            <w:pPr>
              <w:kinsoku/>
              <w:topLinePunct/>
              <w:spacing w:before="29" w:line="220" w:lineRule="auto"/>
              <w:ind w:left="62"/>
              <w:rPr>
                <w:rFonts w:ascii="Times New Roman" w:hAnsi="Times New Roman" w:eastAsia="宋体" w:cs="Times New Roman"/>
                <w:color w:val="auto"/>
                <w:szCs w:val="24"/>
              </w:rPr>
            </w:pPr>
            <w:r>
              <w:rPr>
                <w:rFonts w:ascii="Times New Roman" w:hAnsi="Times New Roman" w:eastAsia="宋体" w:cs="Times New Roman"/>
                <w:color w:val="auto"/>
                <w:spacing w:val="-4"/>
                <w:szCs w:val="24"/>
              </w:rPr>
              <w:t>司或</w:t>
            </w:r>
            <w:r>
              <w:rPr>
                <w:rFonts w:ascii="Times New Roman" w:hAnsi="Times New Roman" w:eastAsia="宋体" w:cs="Times New Roman"/>
                <w:color w:val="auto"/>
                <w:spacing w:val="-2"/>
                <w:szCs w:val="24"/>
              </w:rPr>
              <w:t>指挥部</w:t>
            </w:r>
          </w:p>
          <w:p w14:paraId="08ED494C">
            <w:pPr>
              <w:kinsoku/>
              <w:topLinePunct/>
              <w:spacing w:before="29" w:line="220" w:lineRule="auto"/>
              <w:ind w:left="535"/>
              <w:rPr>
                <w:rFonts w:ascii="Times New Roman" w:hAnsi="Times New Roman" w:eastAsia="宋体" w:cs="Times New Roman"/>
                <w:color w:val="auto"/>
                <w:szCs w:val="24"/>
              </w:rPr>
            </w:pPr>
            <w:r>
              <w:rPr>
                <w:rFonts w:ascii="Times New Roman" w:hAnsi="Times New Roman" w:eastAsia="宋体" w:cs="Times New Roman"/>
                <w:color w:val="auto"/>
                <w:szCs w:val="24"/>
              </w:rPr>
              <w:t>等</w:t>
            </w:r>
          </w:p>
        </w:tc>
        <w:tc>
          <w:tcPr>
            <w:tcW w:w="1736" w:type="dxa"/>
            <w:tcBorders>
              <w:left w:val="single" w:color="000000" w:sz="6" w:space="0"/>
              <w:right w:val="single" w:color="000000" w:sz="6" w:space="0"/>
            </w:tcBorders>
          </w:tcPr>
          <w:p w14:paraId="5278D03A">
            <w:pPr>
              <w:kinsoku/>
              <w:topLinePunct/>
              <w:spacing w:line="377" w:lineRule="auto"/>
              <w:rPr>
                <w:rFonts w:ascii="Times New Roman" w:hAnsi="Times New Roman" w:cs="Times New Roman"/>
                <w:color w:val="auto"/>
                <w:sz w:val="21"/>
              </w:rPr>
            </w:pPr>
          </w:p>
          <w:p w14:paraId="655185D1">
            <w:pPr>
              <w:kinsoku/>
              <w:topLinePunct/>
              <w:spacing w:before="78" w:line="220" w:lineRule="auto"/>
              <w:ind w:left="101"/>
              <w:rPr>
                <w:rFonts w:ascii="Times New Roman" w:hAnsi="Times New Roman" w:eastAsia="宋体" w:cs="Times New Roman"/>
                <w:color w:val="auto"/>
                <w:szCs w:val="24"/>
              </w:rPr>
            </w:pPr>
            <w:r>
              <w:rPr>
                <w:rFonts w:ascii="Times New Roman" w:hAnsi="Times New Roman" w:eastAsia="宋体" w:cs="Times New Roman"/>
                <w:color w:val="auto"/>
                <w:spacing w:val="-16"/>
                <w:szCs w:val="24"/>
              </w:rPr>
              <w:t>例</w:t>
            </w:r>
            <w:r>
              <w:rPr>
                <w:rFonts w:ascii="Times New Roman" w:hAnsi="Times New Roman" w:eastAsia="宋体" w:cs="Times New Roman"/>
                <w:color w:val="auto"/>
                <w:spacing w:val="-14"/>
                <w:szCs w:val="24"/>
              </w:rPr>
              <w:t>如： X年X月X</w:t>
            </w:r>
          </w:p>
          <w:p w14:paraId="3B7D3AD3">
            <w:pPr>
              <w:kinsoku/>
              <w:topLinePunct/>
              <w:spacing w:before="29" w:line="220" w:lineRule="auto"/>
              <w:ind w:left="82"/>
              <w:rPr>
                <w:rFonts w:ascii="Times New Roman" w:hAnsi="Times New Roman" w:eastAsia="宋体" w:cs="Times New Roman"/>
                <w:color w:val="auto"/>
                <w:szCs w:val="24"/>
              </w:rPr>
            </w:pPr>
            <w:r>
              <w:rPr>
                <w:rFonts w:ascii="Times New Roman" w:hAnsi="Times New Roman" w:eastAsia="宋体" w:cs="Times New Roman"/>
                <w:color w:val="auto"/>
                <w:spacing w:val="-7"/>
                <w:szCs w:val="24"/>
              </w:rPr>
              <w:t>日完成长度或</w:t>
            </w:r>
            <w:r>
              <w:rPr>
                <w:rFonts w:ascii="Times New Roman" w:hAnsi="Times New Roman" w:eastAsia="宋体" w:cs="Times New Roman"/>
                <w:color w:val="auto"/>
                <w:spacing w:val="-6"/>
                <w:szCs w:val="24"/>
              </w:rPr>
              <w:t>深</w:t>
            </w:r>
          </w:p>
          <w:p w14:paraId="6F45F21B">
            <w:pPr>
              <w:kinsoku/>
              <w:topLinePunct/>
              <w:spacing w:before="29" w:line="220" w:lineRule="auto"/>
              <w:ind w:left="460"/>
              <w:rPr>
                <w:rFonts w:ascii="Times New Roman" w:hAnsi="Times New Roman" w:eastAsia="宋体" w:cs="Times New Roman"/>
                <w:color w:val="auto"/>
                <w:szCs w:val="24"/>
              </w:rPr>
            </w:pPr>
            <w:r>
              <w:rPr>
                <w:rFonts w:ascii="Times New Roman" w:hAnsi="Times New Roman" w:eastAsia="宋体" w:cs="Times New Roman"/>
                <w:color w:val="auto"/>
                <w:spacing w:val="-2"/>
                <w:szCs w:val="24"/>
              </w:rPr>
              <w:t>度X米等</w:t>
            </w:r>
          </w:p>
        </w:tc>
        <w:tc>
          <w:tcPr>
            <w:tcW w:w="1258" w:type="dxa"/>
            <w:tcBorders>
              <w:left w:val="single" w:color="000000" w:sz="6" w:space="0"/>
              <w:right w:val="single" w:color="000000" w:sz="6" w:space="0"/>
            </w:tcBorders>
          </w:tcPr>
          <w:p w14:paraId="13943813">
            <w:pPr>
              <w:kinsoku/>
              <w:topLinePunct/>
              <w:spacing w:line="378" w:lineRule="auto"/>
              <w:rPr>
                <w:rFonts w:ascii="Times New Roman" w:hAnsi="Times New Roman" w:cs="Times New Roman"/>
                <w:color w:val="auto"/>
                <w:sz w:val="21"/>
              </w:rPr>
            </w:pPr>
          </w:p>
          <w:p w14:paraId="3F2BFDA2">
            <w:pPr>
              <w:kinsoku/>
              <w:topLinePunct/>
              <w:spacing w:before="78" w:line="220" w:lineRule="auto"/>
              <w:ind w:left="47"/>
              <w:rPr>
                <w:rFonts w:ascii="Times New Roman" w:hAnsi="Times New Roman" w:eastAsia="宋体" w:cs="Times New Roman"/>
                <w:color w:val="auto"/>
                <w:szCs w:val="24"/>
              </w:rPr>
            </w:pPr>
            <w:r>
              <w:rPr>
                <w:rFonts w:ascii="Times New Roman" w:hAnsi="Times New Roman" w:eastAsia="宋体" w:cs="Times New Roman"/>
                <w:color w:val="auto"/>
                <w:spacing w:val="-2"/>
                <w:szCs w:val="24"/>
              </w:rPr>
              <w:t>例</w:t>
            </w:r>
            <w:r>
              <w:rPr>
                <w:rFonts w:ascii="Times New Roman" w:hAnsi="Times New Roman" w:eastAsia="宋体" w:cs="Times New Roman"/>
                <w:color w:val="auto"/>
                <w:spacing w:val="-1"/>
                <w:szCs w:val="24"/>
              </w:rPr>
              <w:t>如：施工</w:t>
            </w:r>
          </w:p>
          <w:p w14:paraId="43C7B37E">
            <w:pPr>
              <w:kinsoku/>
              <w:topLinePunct/>
              <w:spacing w:before="29" w:line="220" w:lineRule="auto"/>
              <w:ind w:left="48"/>
              <w:rPr>
                <w:rFonts w:ascii="Times New Roman" w:hAnsi="Times New Roman" w:eastAsia="宋体" w:cs="Times New Roman"/>
                <w:color w:val="auto"/>
                <w:szCs w:val="24"/>
              </w:rPr>
            </w:pPr>
            <w:r>
              <w:rPr>
                <w:rFonts w:ascii="Times New Roman" w:hAnsi="Times New Roman" w:eastAsia="宋体" w:cs="Times New Roman"/>
                <w:color w:val="auto"/>
                <w:spacing w:val="-2"/>
                <w:szCs w:val="24"/>
              </w:rPr>
              <w:t>合同</w:t>
            </w:r>
            <w:r>
              <w:rPr>
                <w:rFonts w:ascii="Times New Roman" w:hAnsi="Times New Roman" w:eastAsia="宋体" w:cs="Times New Roman"/>
                <w:color w:val="auto"/>
                <w:spacing w:val="-1"/>
                <w:szCs w:val="24"/>
              </w:rPr>
              <w:t>或中标</w:t>
            </w:r>
          </w:p>
          <w:p w14:paraId="2240BABB">
            <w:pPr>
              <w:kinsoku/>
              <w:topLinePunct/>
              <w:spacing w:before="28" w:line="219" w:lineRule="auto"/>
              <w:ind w:left="167"/>
              <w:rPr>
                <w:rFonts w:ascii="Times New Roman" w:hAnsi="Times New Roman" w:eastAsia="宋体" w:cs="Times New Roman"/>
                <w:color w:val="auto"/>
                <w:szCs w:val="24"/>
              </w:rPr>
            </w:pPr>
            <w:r>
              <w:rPr>
                <w:rFonts w:ascii="Times New Roman" w:hAnsi="Times New Roman" w:eastAsia="宋体" w:cs="Times New Roman"/>
                <w:color w:val="auto"/>
                <w:spacing w:val="-2"/>
                <w:szCs w:val="24"/>
              </w:rPr>
              <w:t>通知</w:t>
            </w:r>
            <w:r>
              <w:rPr>
                <w:rFonts w:ascii="Times New Roman" w:hAnsi="Times New Roman" w:eastAsia="宋体" w:cs="Times New Roman"/>
                <w:color w:val="auto"/>
                <w:spacing w:val="-1"/>
                <w:szCs w:val="24"/>
              </w:rPr>
              <w:t>书等</w:t>
            </w:r>
          </w:p>
        </w:tc>
        <w:tc>
          <w:tcPr>
            <w:tcW w:w="1430" w:type="dxa"/>
            <w:tcBorders>
              <w:left w:val="single" w:color="000000" w:sz="6" w:space="0"/>
              <w:right w:val="single" w:color="000000" w:sz="12" w:space="0"/>
            </w:tcBorders>
          </w:tcPr>
          <w:p w14:paraId="39D0B1CB">
            <w:pPr>
              <w:kinsoku/>
              <w:topLinePunct/>
              <w:spacing w:line="263" w:lineRule="auto"/>
              <w:rPr>
                <w:rFonts w:ascii="Times New Roman" w:hAnsi="Times New Roman" w:cs="Times New Roman"/>
                <w:color w:val="auto"/>
                <w:sz w:val="21"/>
              </w:rPr>
            </w:pPr>
          </w:p>
          <w:p w14:paraId="078F22F3">
            <w:pPr>
              <w:kinsoku/>
              <w:topLinePunct/>
              <w:spacing w:line="264" w:lineRule="auto"/>
              <w:rPr>
                <w:rFonts w:ascii="Times New Roman" w:hAnsi="Times New Roman" w:cs="Times New Roman"/>
                <w:color w:val="auto"/>
                <w:sz w:val="21"/>
              </w:rPr>
            </w:pPr>
          </w:p>
          <w:p w14:paraId="4CB12950">
            <w:pPr>
              <w:kinsoku/>
              <w:topLinePunct/>
              <w:spacing w:before="78" w:line="268" w:lineRule="auto"/>
              <w:ind w:left="187" w:right="88" w:hanging="61"/>
              <w:rPr>
                <w:rFonts w:ascii="Times New Roman" w:hAnsi="Times New Roman" w:eastAsia="宋体" w:cs="Times New Roman"/>
                <w:color w:val="auto"/>
                <w:szCs w:val="24"/>
              </w:rPr>
            </w:pPr>
            <w:r>
              <w:rPr>
                <w:rFonts w:ascii="Times New Roman" w:hAnsi="Times New Roman" w:eastAsia="宋体" w:cs="Times New Roman"/>
                <w:color w:val="auto"/>
                <w:spacing w:val="-2"/>
                <w:szCs w:val="24"/>
              </w:rPr>
              <w:t>例如：响应</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3"/>
                <w:szCs w:val="24"/>
              </w:rPr>
              <w:t>文</w:t>
            </w:r>
            <w:r>
              <w:rPr>
                <w:rFonts w:ascii="Times New Roman" w:hAnsi="Times New Roman" w:eastAsia="宋体" w:cs="Times New Roman"/>
                <w:color w:val="auto"/>
                <w:spacing w:val="-2"/>
                <w:szCs w:val="24"/>
              </w:rPr>
              <w:t>件第X页</w:t>
            </w:r>
          </w:p>
        </w:tc>
      </w:tr>
      <w:tr w14:paraId="456C4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741" w:type="dxa"/>
            <w:tcBorders>
              <w:left w:val="single" w:color="000000" w:sz="12" w:space="0"/>
              <w:right w:val="single" w:color="000000" w:sz="6" w:space="0"/>
            </w:tcBorders>
          </w:tcPr>
          <w:p w14:paraId="02AA4A5D">
            <w:pPr>
              <w:kinsoku/>
              <w:topLinePunct/>
              <w:spacing w:line="375" w:lineRule="auto"/>
              <w:rPr>
                <w:rFonts w:ascii="Times New Roman" w:hAnsi="Times New Roman" w:cs="Times New Roman"/>
                <w:color w:val="auto"/>
                <w:sz w:val="21"/>
              </w:rPr>
            </w:pPr>
          </w:p>
          <w:p w14:paraId="57A4B423">
            <w:pPr>
              <w:kinsoku/>
              <w:topLinePunct/>
              <w:spacing w:before="78" w:line="184" w:lineRule="auto"/>
              <w:ind w:left="297"/>
              <w:rPr>
                <w:rFonts w:ascii="Times New Roman" w:hAnsi="Times New Roman" w:eastAsia="宋体" w:cs="Times New Roman"/>
                <w:color w:val="auto"/>
                <w:szCs w:val="24"/>
              </w:rPr>
            </w:pPr>
            <w:r>
              <w:rPr>
                <w:rFonts w:ascii="Times New Roman" w:hAnsi="Times New Roman" w:eastAsia="宋体" w:cs="Times New Roman"/>
                <w:color w:val="auto"/>
                <w:szCs w:val="24"/>
              </w:rPr>
              <w:t>2</w:t>
            </w:r>
          </w:p>
        </w:tc>
        <w:tc>
          <w:tcPr>
            <w:tcW w:w="1841" w:type="dxa"/>
            <w:tcBorders>
              <w:left w:val="single" w:color="000000" w:sz="6" w:space="0"/>
              <w:right w:val="single" w:color="000000" w:sz="6" w:space="0"/>
            </w:tcBorders>
          </w:tcPr>
          <w:p w14:paraId="69842699">
            <w:pPr>
              <w:kinsoku/>
              <w:topLinePunct/>
              <w:spacing w:line="334" w:lineRule="auto"/>
              <w:rPr>
                <w:rFonts w:ascii="Times New Roman" w:hAnsi="Times New Roman" w:cs="Times New Roman"/>
                <w:color w:val="auto"/>
                <w:sz w:val="21"/>
              </w:rPr>
            </w:pPr>
          </w:p>
          <w:p w14:paraId="7DC11E0F">
            <w:pPr>
              <w:kinsoku/>
              <w:topLinePunct/>
              <w:spacing w:before="78" w:line="377" w:lineRule="exact"/>
              <w:ind w:left="687"/>
              <w:rPr>
                <w:rFonts w:ascii="Times New Roman" w:hAnsi="Times New Roman" w:eastAsia="宋体" w:cs="Times New Roman"/>
                <w:color w:val="auto"/>
                <w:szCs w:val="24"/>
              </w:rPr>
            </w:pPr>
            <w:r>
              <w:rPr>
                <w:rFonts w:ascii="Times New Roman" w:hAnsi="Times New Roman" w:eastAsia="宋体" w:cs="Times New Roman"/>
                <w:color w:val="auto"/>
                <w:spacing w:val="-6"/>
                <w:position w:val="3"/>
                <w:szCs w:val="24"/>
              </w:rPr>
              <w:t>……</w:t>
            </w:r>
          </w:p>
        </w:tc>
        <w:tc>
          <w:tcPr>
            <w:tcW w:w="1407" w:type="dxa"/>
            <w:tcBorders>
              <w:left w:val="single" w:color="000000" w:sz="6" w:space="0"/>
              <w:right w:val="single" w:color="000000" w:sz="6" w:space="0"/>
            </w:tcBorders>
          </w:tcPr>
          <w:p w14:paraId="4CE34AE2">
            <w:pPr>
              <w:kinsoku/>
              <w:topLinePunct/>
              <w:rPr>
                <w:rFonts w:ascii="Times New Roman" w:hAnsi="Times New Roman" w:cs="Times New Roman"/>
                <w:color w:val="auto"/>
                <w:sz w:val="21"/>
              </w:rPr>
            </w:pPr>
          </w:p>
        </w:tc>
        <w:tc>
          <w:tcPr>
            <w:tcW w:w="1273" w:type="dxa"/>
            <w:tcBorders>
              <w:left w:val="single" w:color="000000" w:sz="6" w:space="0"/>
              <w:right w:val="single" w:color="000000" w:sz="6" w:space="0"/>
            </w:tcBorders>
          </w:tcPr>
          <w:p w14:paraId="062A1D9F">
            <w:pPr>
              <w:kinsoku/>
              <w:topLinePunct/>
              <w:rPr>
                <w:rFonts w:ascii="Times New Roman" w:hAnsi="Times New Roman" w:cs="Times New Roman"/>
                <w:color w:val="auto"/>
                <w:sz w:val="21"/>
              </w:rPr>
            </w:pPr>
          </w:p>
        </w:tc>
        <w:tc>
          <w:tcPr>
            <w:tcW w:w="1736" w:type="dxa"/>
            <w:tcBorders>
              <w:left w:val="single" w:color="000000" w:sz="6" w:space="0"/>
              <w:right w:val="single" w:color="000000" w:sz="6" w:space="0"/>
            </w:tcBorders>
          </w:tcPr>
          <w:p w14:paraId="425B9652">
            <w:pPr>
              <w:kinsoku/>
              <w:topLinePunct/>
              <w:rPr>
                <w:rFonts w:ascii="Times New Roman" w:hAnsi="Times New Roman" w:cs="Times New Roman"/>
                <w:color w:val="auto"/>
                <w:sz w:val="21"/>
              </w:rPr>
            </w:pPr>
          </w:p>
        </w:tc>
        <w:tc>
          <w:tcPr>
            <w:tcW w:w="1258" w:type="dxa"/>
            <w:tcBorders>
              <w:left w:val="single" w:color="000000" w:sz="6" w:space="0"/>
              <w:right w:val="single" w:color="000000" w:sz="6" w:space="0"/>
            </w:tcBorders>
          </w:tcPr>
          <w:p w14:paraId="43F46DBF">
            <w:pPr>
              <w:kinsoku/>
              <w:topLinePunct/>
              <w:rPr>
                <w:rFonts w:ascii="Times New Roman" w:hAnsi="Times New Roman" w:cs="Times New Roman"/>
                <w:color w:val="auto"/>
                <w:sz w:val="21"/>
              </w:rPr>
            </w:pPr>
          </w:p>
        </w:tc>
        <w:tc>
          <w:tcPr>
            <w:tcW w:w="1430" w:type="dxa"/>
            <w:tcBorders>
              <w:left w:val="single" w:color="000000" w:sz="6" w:space="0"/>
              <w:right w:val="single" w:color="000000" w:sz="12" w:space="0"/>
            </w:tcBorders>
          </w:tcPr>
          <w:p w14:paraId="29E10C3D">
            <w:pPr>
              <w:kinsoku/>
              <w:topLinePunct/>
              <w:rPr>
                <w:rFonts w:ascii="Times New Roman" w:hAnsi="Times New Roman" w:cs="Times New Roman"/>
                <w:color w:val="auto"/>
                <w:sz w:val="21"/>
              </w:rPr>
            </w:pPr>
          </w:p>
        </w:tc>
      </w:tr>
      <w:tr w14:paraId="7D618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741" w:type="dxa"/>
            <w:tcBorders>
              <w:left w:val="single" w:color="000000" w:sz="12" w:space="0"/>
              <w:right w:val="single" w:color="000000" w:sz="6" w:space="0"/>
            </w:tcBorders>
          </w:tcPr>
          <w:p w14:paraId="54D6750F">
            <w:pPr>
              <w:kinsoku/>
              <w:topLinePunct/>
              <w:rPr>
                <w:rFonts w:ascii="Times New Roman" w:hAnsi="Times New Roman" w:cs="Times New Roman"/>
                <w:color w:val="auto"/>
                <w:sz w:val="21"/>
              </w:rPr>
            </w:pPr>
          </w:p>
        </w:tc>
        <w:tc>
          <w:tcPr>
            <w:tcW w:w="1841" w:type="dxa"/>
            <w:tcBorders>
              <w:left w:val="single" w:color="000000" w:sz="6" w:space="0"/>
              <w:right w:val="single" w:color="000000" w:sz="6" w:space="0"/>
            </w:tcBorders>
          </w:tcPr>
          <w:p w14:paraId="006E5343">
            <w:pPr>
              <w:kinsoku/>
              <w:topLinePunct/>
              <w:rPr>
                <w:rFonts w:ascii="Times New Roman" w:hAnsi="Times New Roman" w:cs="Times New Roman"/>
                <w:color w:val="auto"/>
                <w:sz w:val="21"/>
              </w:rPr>
            </w:pPr>
          </w:p>
        </w:tc>
        <w:tc>
          <w:tcPr>
            <w:tcW w:w="1407" w:type="dxa"/>
            <w:tcBorders>
              <w:left w:val="single" w:color="000000" w:sz="6" w:space="0"/>
              <w:right w:val="single" w:color="000000" w:sz="6" w:space="0"/>
            </w:tcBorders>
          </w:tcPr>
          <w:p w14:paraId="5C1ED926">
            <w:pPr>
              <w:kinsoku/>
              <w:topLinePunct/>
              <w:rPr>
                <w:rFonts w:ascii="Times New Roman" w:hAnsi="Times New Roman" w:cs="Times New Roman"/>
                <w:color w:val="auto"/>
                <w:sz w:val="21"/>
              </w:rPr>
            </w:pPr>
          </w:p>
        </w:tc>
        <w:tc>
          <w:tcPr>
            <w:tcW w:w="1273" w:type="dxa"/>
            <w:tcBorders>
              <w:left w:val="single" w:color="000000" w:sz="6" w:space="0"/>
              <w:right w:val="single" w:color="000000" w:sz="6" w:space="0"/>
            </w:tcBorders>
          </w:tcPr>
          <w:p w14:paraId="164451EC">
            <w:pPr>
              <w:kinsoku/>
              <w:topLinePunct/>
              <w:rPr>
                <w:rFonts w:ascii="Times New Roman" w:hAnsi="Times New Roman" w:cs="Times New Roman"/>
                <w:color w:val="auto"/>
                <w:sz w:val="21"/>
              </w:rPr>
            </w:pPr>
          </w:p>
        </w:tc>
        <w:tc>
          <w:tcPr>
            <w:tcW w:w="1736" w:type="dxa"/>
            <w:tcBorders>
              <w:left w:val="single" w:color="000000" w:sz="6" w:space="0"/>
              <w:right w:val="single" w:color="000000" w:sz="6" w:space="0"/>
            </w:tcBorders>
          </w:tcPr>
          <w:p w14:paraId="3E45E4A3">
            <w:pPr>
              <w:kinsoku/>
              <w:topLinePunct/>
              <w:rPr>
                <w:rFonts w:ascii="Times New Roman" w:hAnsi="Times New Roman" w:cs="Times New Roman"/>
                <w:color w:val="auto"/>
                <w:sz w:val="21"/>
              </w:rPr>
            </w:pPr>
          </w:p>
        </w:tc>
        <w:tc>
          <w:tcPr>
            <w:tcW w:w="1258" w:type="dxa"/>
            <w:tcBorders>
              <w:left w:val="single" w:color="000000" w:sz="6" w:space="0"/>
              <w:right w:val="single" w:color="000000" w:sz="6" w:space="0"/>
            </w:tcBorders>
          </w:tcPr>
          <w:p w14:paraId="42C7B052">
            <w:pPr>
              <w:kinsoku/>
              <w:topLinePunct/>
              <w:rPr>
                <w:rFonts w:ascii="Times New Roman" w:hAnsi="Times New Roman" w:cs="Times New Roman"/>
                <w:color w:val="auto"/>
                <w:sz w:val="21"/>
              </w:rPr>
            </w:pPr>
          </w:p>
        </w:tc>
        <w:tc>
          <w:tcPr>
            <w:tcW w:w="1430" w:type="dxa"/>
            <w:tcBorders>
              <w:left w:val="single" w:color="000000" w:sz="6" w:space="0"/>
              <w:right w:val="single" w:color="000000" w:sz="12" w:space="0"/>
            </w:tcBorders>
          </w:tcPr>
          <w:p w14:paraId="72D74F4B">
            <w:pPr>
              <w:kinsoku/>
              <w:topLinePunct/>
              <w:rPr>
                <w:rFonts w:ascii="Times New Roman" w:hAnsi="Times New Roman" w:cs="Times New Roman"/>
                <w:color w:val="auto"/>
                <w:sz w:val="21"/>
              </w:rPr>
            </w:pPr>
          </w:p>
        </w:tc>
      </w:tr>
    </w:tbl>
    <w:p w14:paraId="2C1D4042">
      <w:pPr>
        <w:kinsoku/>
        <w:topLinePunct/>
        <w:spacing w:before="108" w:line="217" w:lineRule="auto"/>
        <w:rPr>
          <w:rFonts w:ascii="Times New Roman" w:hAnsi="Times New Roman" w:eastAsia="宋体" w:cs="Times New Roman"/>
          <w:color w:val="auto"/>
          <w:szCs w:val="24"/>
        </w:rPr>
      </w:pPr>
      <w:r>
        <w:rPr>
          <w:rFonts w:ascii="Times New Roman" w:hAnsi="Times New Roman" w:eastAsia="宋体" w:cs="Times New Roman"/>
          <w:color w:val="auto"/>
          <w:spacing w:val="-1"/>
          <w:szCs w:val="24"/>
        </w:rPr>
        <w:t>备</w:t>
      </w:r>
      <w:r>
        <w:rPr>
          <w:rFonts w:ascii="Times New Roman" w:hAnsi="Times New Roman" w:eastAsia="宋体" w:cs="Times New Roman"/>
          <w:color w:val="auto"/>
          <w:szCs w:val="24"/>
        </w:rPr>
        <w:t>注：不填写此表的不作为评审依据，并附上相关附件证明材料。</w:t>
      </w:r>
    </w:p>
    <w:p w14:paraId="601DC1DC">
      <w:pPr>
        <w:kinsoku/>
        <w:topLinePunct/>
        <w:rPr>
          <w:rFonts w:ascii="Times New Roman" w:hAnsi="Times New Roman" w:eastAsia="仿宋_GB2312" w:cs="Times New Roman"/>
          <w:color w:val="auto"/>
          <w:sz w:val="32"/>
          <w:szCs w:val="32"/>
        </w:rPr>
      </w:pPr>
    </w:p>
    <w:p w14:paraId="0773978E">
      <w:pPr>
        <w:kinsoku/>
        <w:topLinePunct/>
        <w:spacing w:line="360" w:lineRule="auto"/>
        <w:ind w:right="420"/>
        <w:rPr>
          <w:rFonts w:ascii="Times New Roman" w:hAnsi="Times New Roman" w:cs="Times New Roman"/>
          <w:color w:val="auto"/>
        </w:rPr>
      </w:pPr>
    </w:p>
    <w:p w14:paraId="6DF81CDA">
      <w:pPr>
        <w:widowControl w:val="0"/>
        <w:kinsoku/>
        <w:wordWrap w:val="0"/>
        <w:topLinePunct/>
        <w:autoSpaceDE/>
        <w:autoSpaceDN/>
        <w:adjustRightInd/>
        <w:snapToGrid/>
        <w:spacing w:line="360" w:lineRule="auto"/>
        <w:ind w:firstLine="480" w:firstLineChars="200"/>
        <w:jc w:val="center"/>
        <w:rPr>
          <w:rFonts w:ascii="Times New Roman" w:hAnsi="Times New Roman" w:eastAsia="宋体" w:cs="Times New Roman"/>
          <w:color w:val="auto"/>
          <w:szCs w:val="24"/>
        </w:rPr>
      </w:pPr>
      <w:r>
        <w:rPr>
          <w:rFonts w:ascii="Times New Roman" w:hAnsi="Times New Roman" w:eastAsia="宋体" w:cs="Times New Roman"/>
          <w:color w:val="auto"/>
          <w:szCs w:val="24"/>
        </w:rPr>
        <w:t>　　　　　　　　潜在承包人</w:t>
      </w:r>
      <w:r>
        <w:rPr>
          <w:rFonts w:ascii="Times New Roman" w:hAnsi="Times New Roman" w:cs="Times New Roman"/>
          <w:color w:val="auto"/>
        </w:rPr>
        <w:t>名称</w:t>
      </w:r>
      <w:r>
        <w:rPr>
          <w:rFonts w:ascii="Times New Roman" w:hAnsi="Times New Roman" w:eastAsia="宋体" w:cs="Times New Roman"/>
          <w:color w:val="auto"/>
          <w:spacing w:val="-6"/>
          <w:szCs w:val="24"/>
        </w:rPr>
        <w:t>(电子签名)</w:t>
      </w:r>
      <w:r>
        <w:rPr>
          <w:rFonts w:ascii="Times New Roman" w:hAnsi="Times New Roman" w:eastAsia="宋体" w:cs="Times New Roman"/>
          <w:color w:val="auto"/>
          <w:spacing w:val="-12"/>
          <w:szCs w:val="24"/>
        </w:rPr>
        <w:t>：</w:t>
      </w:r>
    </w:p>
    <w:p w14:paraId="17EE8A18">
      <w:pPr>
        <w:widowControl w:val="0"/>
        <w:kinsoku/>
        <w:wordWrap w:val="0"/>
        <w:topLinePunct/>
        <w:autoSpaceDE/>
        <w:autoSpaceDN/>
        <w:adjustRightInd/>
        <w:snapToGrid/>
        <w:spacing w:before="36" w:beforeLines="15" w:line="308" w:lineRule="auto"/>
        <w:ind w:firstLine="512" w:firstLineChars="200"/>
        <w:jc w:val="center"/>
        <w:rPr>
          <w:rFonts w:ascii="Times New Roman" w:hAnsi="Times New Roman" w:eastAsia="宋体" w:cs="Times New Roman"/>
          <w:color w:val="auto"/>
          <w:spacing w:val="4"/>
          <w:szCs w:val="24"/>
        </w:rPr>
      </w:pPr>
      <w:r>
        <w:rPr>
          <w:rFonts w:ascii="Times New Roman" w:hAnsi="Times New Roman" w:eastAsia="宋体" w:cs="Times New Roman"/>
          <w:color w:val="auto"/>
          <w:spacing w:val="8"/>
          <w:szCs w:val="24"/>
        </w:rPr>
        <w:t xml:space="preserve">             日期：　　年</w:t>
      </w:r>
      <w:r>
        <w:rPr>
          <w:rFonts w:ascii="Times New Roman" w:hAnsi="Times New Roman" w:eastAsia="宋体" w:cs="Times New Roman"/>
          <w:color w:val="auto"/>
          <w:spacing w:val="6"/>
          <w:szCs w:val="24"/>
        </w:rPr>
        <w:t xml:space="preserve"> </w:t>
      </w:r>
      <w:r>
        <w:rPr>
          <w:rFonts w:ascii="Times New Roman" w:hAnsi="Times New Roman" w:eastAsia="宋体" w:cs="Times New Roman"/>
          <w:color w:val="auto"/>
          <w:spacing w:val="4"/>
          <w:szCs w:val="24"/>
        </w:rPr>
        <w:t xml:space="preserve">  月    日</w:t>
      </w:r>
    </w:p>
    <w:p w14:paraId="6CEB1D9A">
      <w:pPr>
        <w:kinsoku/>
        <w:topLinePunct/>
        <w:rPr>
          <w:rFonts w:ascii="Times New Roman" w:hAnsi="Times New Roman" w:eastAsia="仿宋_GB2312" w:cs="Times New Roman"/>
          <w:color w:val="auto"/>
          <w:sz w:val="32"/>
          <w:szCs w:val="32"/>
        </w:rPr>
        <w:sectPr>
          <w:pgSz w:w="11906" w:h="16838"/>
          <w:pgMar w:top="1440" w:right="1080" w:bottom="1440" w:left="1080" w:header="850" w:footer="992" w:gutter="0"/>
          <w:cols w:space="0" w:num="1"/>
          <w:titlePg/>
          <w:docGrid w:linePitch="312" w:charSpace="0"/>
        </w:sectPr>
      </w:pPr>
    </w:p>
    <w:p w14:paraId="07E14BA5">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符合性审查资料汇总表</w:t>
      </w:r>
    </w:p>
    <w:p w14:paraId="2599B56B">
      <w:pPr>
        <w:kinsoku/>
        <w:topLinePunct/>
        <w:jc w:val="center"/>
        <w:rPr>
          <w:rFonts w:ascii="Times New Roman" w:hAnsi="Times New Roman" w:cs="Times New Roman"/>
          <w:b/>
          <w:color w:val="auto"/>
          <w:sz w:val="32"/>
          <w:szCs w:val="32"/>
        </w:rPr>
      </w:pPr>
    </w:p>
    <w:tbl>
      <w:tblPr>
        <w:tblStyle w:val="22"/>
        <w:tblW w:w="9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412"/>
        <w:gridCol w:w="1440"/>
      </w:tblGrid>
      <w:tr w14:paraId="5264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8448EB9">
            <w:pPr>
              <w:kinsoku/>
              <w:topLinePunct/>
              <w:snapToGrid/>
              <w:jc w:val="center"/>
              <w:rPr>
                <w:rFonts w:ascii="Times New Roman" w:hAnsi="Times New Roman" w:cs="Times New Roman"/>
                <w:b/>
                <w:color w:val="auto"/>
              </w:rPr>
            </w:pPr>
            <w:r>
              <w:rPr>
                <w:rFonts w:ascii="Times New Roman" w:hAnsi="Times New Roman" w:cs="Times New Roman"/>
                <w:b/>
                <w:color w:val="auto"/>
              </w:rPr>
              <w:t>序号</w:t>
            </w:r>
          </w:p>
        </w:tc>
        <w:tc>
          <w:tcPr>
            <w:tcW w:w="4991" w:type="dxa"/>
            <w:vAlign w:val="center"/>
          </w:tcPr>
          <w:p w14:paraId="67C18D66">
            <w:pPr>
              <w:kinsoku/>
              <w:topLinePunct/>
              <w:snapToGrid/>
              <w:jc w:val="center"/>
              <w:rPr>
                <w:rFonts w:ascii="Times New Roman" w:hAnsi="Times New Roman" w:cs="Times New Roman"/>
                <w:b/>
                <w:color w:val="auto"/>
              </w:rPr>
            </w:pPr>
            <w:r>
              <w:rPr>
                <w:rFonts w:ascii="Times New Roman" w:hAnsi="Times New Roman" w:cs="Times New Roman"/>
                <w:b/>
                <w:color w:val="auto"/>
              </w:rPr>
              <w:t>审查内容</w:t>
            </w:r>
          </w:p>
        </w:tc>
        <w:tc>
          <w:tcPr>
            <w:tcW w:w="2412" w:type="dxa"/>
            <w:vAlign w:val="center"/>
          </w:tcPr>
          <w:p w14:paraId="2CC45078">
            <w:pPr>
              <w:kinsoku/>
              <w:topLinePunct/>
              <w:snapToGrid/>
              <w:jc w:val="center"/>
              <w:rPr>
                <w:rFonts w:ascii="Times New Roman" w:hAnsi="Times New Roman" w:cs="Times New Roman"/>
                <w:b/>
                <w:color w:val="auto"/>
              </w:rPr>
            </w:pPr>
            <w:r>
              <w:rPr>
                <w:rFonts w:ascii="Times New Roman" w:hAnsi="Times New Roman" w:cs="Times New Roman"/>
                <w:b/>
                <w:color w:val="auto"/>
              </w:rPr>
              <w:t>需要提供的审查资料</w:t>
            </w:r>
          </w:p>
        </w:tc>
        <w:tc>
          <w:tcPr>
            <w:tcW w:w="1440" w:type="dxa"/>
            <w:vAlign w:val="center"/>
          </w:tcPr>
          <w:p w14:paraId="258B1BA2">
            <w:pPr>
              <w:kinsoku/>
              <w:topLinePunct/>
              <w:snapToGrid/>
              <w:jc w:val="center"/>
              <w:rPr>
                <w:rFonts w:ascii="Times New Roman" w:hAnsi="Times New Roman" w:cs="Times New Roman"/>
                <w:b/>
                <w:color w:val="auto"/>
              </w:rPr>
            </w:pPr>
            <w:r>
              <w:rPr>
                <w:rFonts w:ascii="Times New Roman" w:hAnsi="Times New Roman" w:cs="Times New Roman"/>
                <w:b/>
                <w:color w:val="auto"/>
              </w:rPr>
              <w:t>响应文件中的页码位置</w:t>
            </w:r>
          </w:p>
        </w:tc>
      </w:tr>
      <w:tr w14:paraId="45BB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F5D2864">
            <w:pPr>
              <w:kinsoku/>
              <w:topLinePunct/>
              <w:snapToGrid/>
              <w:jc w:val="center"/>
              <w:rPr>
                <w:rFonts w:ascii="Times New Roman" w:hAnsi="Times New Roman" w:cs="Times New Roman"/>
                <w:b/>
                <w:color w:val="auto"/>
              </w:rPr>
            </w:pPr>
            <w:r>
              <w:rPr>
                <w:rFonts w:ascii="Times New Roman" w:hAnsi="Times New Roman" w:cs="Times New Roman"/>
                <w:b/>
                <w:color w:val="auto"/>
              </w:rPr>
              <w:t>1</w:t>
            </w:r>
          </w:p>
        </w:tc>
        <w:tc>
          <w:tcPr>
            <w:tcW w:w="4991" w:type="dxa"/>
            <w:vAlign w:val="center"/>
          </w:tcPr>
          <w:p w14:paraId="79A02D3F">
            <w:pPr>
              <w:spacing w:line="360" w:lineRule="auto"/>
              <w:jc w:val="both"/>
              <w:rPr>
                <w:rFonts w:ascii="Times New Roman" w:hAnsi="Times New Roman" w:cs="Times New Roman"/>
                <w:b/>
                <w:color w:val="auto"/>
              </w:rPr>
            </w:pPr>
            <w:r>
              <w:rPr>
                <w:rFonts w:ascii="Times New Roman" w:hAnsi="Times New Roman" w:cs="Times New Roman"/>
                <w:color w:val="auto"/>
              </w:rPr>
              <w:t>响应文件按照交易文件要求签署、盖章。</w:t>
            </w:r>
          </w:p>
        </w:tc>
        <w:tc>
          <w:tcPr>
            <w:tcW w:w="2412" w:type="dxa"/>
            <w:vAlign w:val="center"/>
          </w:tcPr>
          <w:p w14:paraId="626A04E5">
            <w:pPr>
              <w:rPr>
                <w:rFonts w:ascii="Times New Roman" w:hAnsi="Times New Roman" w:cs="Times New Roman"/>
                <w:b/>
                <w:color w:val="auto"/>
              </w:rPr>
            </w:pPr>
            <w:r>
              <w:rPr>
                <w:rFonts w:ascii="Times New Roman" w:hAnsi="Times New Roman" w:cs="Times New Roman"/>
                <w:color w:val="auto"/>
              </w:rPr>
              <w:t>需要使用电子签名或者签字盖章的响应文件的组成部分</w:t>
            </w:r>
          </w:p>
        </w:tc>
        <w:tc>
          <w:tcPr>
            <w:tcW w:w="1440" w:type="dxa"/>
            <w:vAlign w:val="center"/>
          </w:tcPr>
          <w:p w14:paraId="4E9FF598">
            <w:pPr>
              <w:kinsoku/>
              <w:topLinePunct/>
              <w:snapToGrid/>
              <w:jc w:val="center"/>
              <w:rPr>
                <w:rFonts w:ascii="Times New Roman" w:hAnsi="Times New Roman" w:cs="Times New Roman"/>
                <w:b/>
                <w:color w:val="auto"/>
              </w:rPr>
            </w:pPr>
            <w:r>
              <w:rPr>
                <w:rFonts w:ascii="Times New Roman" w:hAnsi="Times New Roman" w:cs="Times New Roman"/>
                <w:color w:val="auto"/>
              </w:rPr>
              <w:t>见响应文件第</w:t>
            </w:r>
            <w:r>
              <w:rPr>
                <w:rFonts w:ascii="Times New Roman" w:hAnsi="Times New Roman" w:cs="Times New Roman"/>
                <w:color w:val="auto"/>
                <w:u w:val="single"/>
              </w:rPr>
              <w:t xml:space="preserve">  </w:t>
            </w:r>
            <w:r>
              <w:rPr>
                <w:rFonts w:ascii="Times New Roman" w:hAnsi="Times New Roman" w:cs="Times New Roman"/>
                <w:color w:val="auto"/>
              </w:rPr>
              <w:t>页</w:t>
            </w:r>
          </w:p>
        </w:tc>
      </w:tr>
      <w:tr w14:paraId="54CF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716D018">
            <w:pPr>
              <w:kinsoku/>
              <w:topLinePunct/>
              <w:snapToGrid/>
              <w:jc w:val="center"/>
              <w:rPr>
                <w:rFonts w:ascii="Times New Roman" w:hAnsi="Times New Roman" w:cs="Times New Roman"/>
                <w:b/>
                <w:color w:val="auto"/>
              </w:rPr>
            </w:pPr>
            <w:r>
              <w:rPr>
                <w:rFonts w:ascii="Times New Roman" w:hAnsi="Times New Roman" w:cs="Times New Roman"/>
                <w:b/>
                <w:color w:val="auto"/>
              </w:rPr>
              <w:t>2</w:t>
            </w:r>
          </w:p>
        </w:tc>
        <w:tc>
          <w:tcPr>
            <w:tcW w:w="4991" w:type="dxa"/>
            <w:vAlign w:val="center"/>
          </w:tcPr>
          <w:p w14:paraId="6300CBA6">
            <w:pPr>
              <w:spacing w:line="360" w:lineRule="auto"/>
              <w:jc w:val="both"/>
              <w:rPr>
                <w:rFonts w:ascii="Times New Roman" w:hAnsi="Times New Roman" w:eastAsia="宋体" w:cs="Times New Roman"/>
                <w:color w:val="auto"/>
                <w:lang w:val="zh-CN"/>
              </w:rPr>
            </w:pPr>
            <w:r>
              <w:rPr>
                <w:rFonts w:ascii="Times New Roman" w:hAnsi="Times New Roman" w:cs="Times New Roman"/>
                <w:color w:val="auto"/>
              </w:rPr>
              <w:t>响应文件中承诺的响应有效期不少于交易文件中载明的响应有效期。</w:t>
            </w:r>
          </w:p>
        </w:tc>
        <w:tc>
          <w:tcPr>
            <w:tcW w:w="2412" w:type="dxa"/>
            <w:vAlign w:val="center"/>
          </w:tcPr>
          <w:p w14:paraId="5B66E57D">
            <w:pPr>
              <w:rPr>
                <w:rFonts w:ascii="Times New Roman" w:hAnsi="Times New Roman" w:cs="Times New Roman"/>
                <w:b/>
                <w:color w:val="auto"/>
              </w:rPr>
            </w:pPr>
            <w:r>
              <w:rPr>
                <w:rFonts w:ascii="Times New Roman" w:hAnsi="Times New Roman" w:cs="Times New Roman"/>
                <w:color w:val="auto"/>
              </w:rPr>
              <w:t>响应函</w:t>
            </w:r>
          </w:p>
        </w:tc>
        <w:tc>
          <w:tcPr>
            <w:tcW w:w="1440" w:type="dxa"/>
            <w:vAlign w:val="center"/>
          </w:tcPr>
          <w:p w14:paraId="3BBF34C4">
            <w:pPr>
              <w:kinsoku/>
              <w:topLinePunct/>
              <w:snapToGrid/>
              <w:jc w:val="center"/>
              <w:rPr>
                <w:rFonts w:ascii="Times New Roman" w:hAnsi="Times New Roman" w:cs="Times New Roman"/>
                <w:color w:val="auto"/>
              </w:rPr>
            </w:pPr>
            <w:r>
              <w:rPr>
                <w:rFonts w:ascii="Times New Roman" w:hAnsi="Times New Roman" w:cs="Times New Roman"/>
                <w:color w:val="auto"/>
              </w:rPr>
              <w:t>见响应文件</w:t>
            </w:r>
          </w:p>
          <w:p w14:paraId="35E117D7">
            <w:pPr>
              <w:kinsoku/>
              <w:topLinePunct/>
              <w:snapToGrid/>
              <w:jc w:val="center"/>
              <w:rPr>
                <w:rFonts w:ascii="Times New Roman" w:hAnsi="Times New Roman" w:cs="Times New Roman"/>
                <w:b/>
                <w:color w:val="auto"/>
              </w:rPr>
            </w:pPr>
            <w:r>
              <w:rPr>
                <w:rFonts w:ascii="Times New Roman" w:hAnsi="Times New Roman" w:cs="Times New Roman"/>
                <w:color w:val="auto"/>
              </w:rPr>
              <w:t>第</w:t>
            </w:r>
            <w:r>
              <w:rPr>
                <w:rFonts w:ascii="Times New Roman" w:hAnsi="Times New Roman" w:cs="Times New Roman"/>
                <w:color w:val="auto"/>
                <w:u w:val="single"/>
              </w:rPr>
              <w:t xml:space="preserve">  </w:t>
            </w:r>
            <w:r>
              <w:rPr>
                <w:rFonts w:ascii="Times New Roman" w:hAnsi="Times New Roman" w:cs="Times New Roman"/>
                <w:color w:val="auto"/>
              </w:rPr>
              <w:t>页</w:t>
            </w:r>
          </w:p>
        </w:tc>
      </w:tr>
      <w:tr w14:paraId="737C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6A535A7">
            <w:pPr>
              <w:kinsoku/>
              <w:topLinePunct/>
              <w:snapToGrid/>
              <w:jc w:val="center"/>
              <w:rPr>
                <w:rFonts w:ascii="Times New Roman" w:hAnsi="Times New Roman" w:cs="Times New Roman"/>
                <w:b/>
                <w:color w:val="auto"/>
              </w:rPr>
            </w:pPr>
            <w:r>
              <w:rPr>
                <w:rFonts w:ascii="Times New Roman" w:hAnsi="Times New Roman" w:cs="Times New Roman"/>
                <w:b/>
                <w:color w:val="auto"/>
              </w:rPr>
              <w:t>3</w:t>
            </w:r>
          </w:p>
        </w:tc>
        <w:tc>
          <w:tcPr>
            <w:tcW w:w="4991" w:type="dxa"/>
            <w:vAlign w:val="center"/>
          </w:tcPr>
          <w:p w14:paraId="6CF57D52">
            <w:pPr>
              <w:spacing w:line="360" w:lineRule="auto"/>
              <w:jc w:val="both"/>
              <w:rPr>
                <w:rFonts w:ascii="Times New Roman" w:hAnsi="Times New Roman" w:eastAsia="宋体" w:cs="Times New Roman"/>
                <w:color w:val="auto"/>
              </w:rPr>
            </w:pPr>
            <w:r>
              <w:rPr>
                <w:rFonts w:ascii="Times New Roman" w:hAnsi="Times New Roman" w:cs="Times New Roman"/>
                <w:color w:val="auto"/>
              </w:rPr>
              <w:t>其他实质性要求1：</w:t>
            </w:r>
          </w:p>
        </w:tc>
        <w:tc>
          <w:tcPr>
            <w:tcW w:w="2412" w:type="dxa"/>
            <w:vMerge w:val="restart"/>
            <w:vAlign w:val="center"/>
          </w:tcPr>
          <w:p w14:paraId="0FE09291">
            <w:pPr>
              <w:rPr>
                <w:rFonts w:ascii="Times New Roman" w:hAnsi="Times New Roman" w:cs="Times New Roman"/>
                <w:b/>
                <w:color w:val="auto"/>
              </w:rPr>
            </w:pPr>
            <w:r>
              <w:rPr>
                <w:rFonts w:ascii="Times New Roman" w:hAnsi="Times New Roman" w:cs="Times New Roman"/>
                <w:color w:val="auto"/>
              </w:rPr>
              <w:t>交易文件其他实质性要求相应的材料(“▲” 系指实质性要求条款，交易文件无其他实质性要求的，无需提供)</w:t>
            </w:r>
          </w:p>
        </w:tc>
        <w:tc>
          <w:tcPr>
            <w:tcW w:w="1440" w:type="dxa"/>
            <w:vAlign w:val="center"/>
          </w:tcPr>
          <w:p w14:paraId="030BA005">
            <w:pPr>
              <w:kinsoku/>
              <w:topLinePunct/>
              <w:snapToGrid/>
              <w:jc w:val="center"/>
              <w:rPr>
                <w:rFonts w:ascii="Times New Roman" w:hAnsi="Times New Roman" w:cs="Times New Roman"/>
                <w:b/>
                <w:color w:val="auto"/>
              </w:rPr>
            </w:pPr>
            <w:r>
              <w:rPr>
                <w:rFonts w:ascii="Times New Roman" w:hAnsi="Times New Roman" w:cs="Times New Roman"/>
                <w:color w:val="auto"/>
              </w:rPr>
              <w:t>见响应文件第</w:t>
            </w:r>
            <w:r>
              <w:rPr>
                <w:rFonts w:ascii="Times New Roman" w:hAnsi="Times New Roman" w:cs="Times New Roman"/>
                <w:color w:val="auto"/>
                <w:u w:val="single"/>
              </w:rPr>
              <w:t xml:space="preserve">  </w:t>
            </w:r>
            <w:r>
              <w:rPr>
                <w:rFonts w:ascii="Times New Roman" w:hAnsi="Times New Roman" w:cs="Times New Roman"/>
                <w:color w:val="auto"/>
              </w:rPr>
              <w:t>页</w:t>
            </w:r>
          </w:p>
        </w:tc>
      </w:tr>
      <w:tr w14:paraId="2689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48AB29C">
            <w:pPr>
              <w:kinsoku/>
              <w:topLinePunct/>
              <w:snapToGrid/>
              <w:jc w:val="center"/>
              <w:rPr>
                <w:rFonts w:ascii="Times New Roman" w:hAnsi="Times New Roman" w:cs="Times New Roman"/>
                <w:b/>
                <w:color w:val="auto"/>
              </w:rPr>
            </w:pPr>
            <w:r>
              <w:rPr>
                <w:rFonts w:ascii="Times New Roman" w:hAnsi="Times New Roman" w:cs="Times New Roman"/>
                <w:b/>
                <w:color w:val="auto"/>
              </w:rPr>
              <w:t>4</w:t>
            </w:r>
          </w:p>
        </w:tc>
        <w:tc>
          <w:tcPr>
            <w:tcW w:w="4991" w:type="dxa"/>
            <w:vAlign w:val="center"/>
          </w:tcPr>
          <w:p w14:paraId="249E3AC1">
            <w:pPr>
              <w:spacing w:line="360" w:lineRule="auto"/>
              <w:jc w:val="both"/>
              <w:rPr>
                <w:rFonts w:ascii="Times New Roman" w:hAnsi="Times New Roman" w:eastAsia="宋体" w:cs="Times New Roman"/>
                <w:color w:val="auto"/>
              </w:rPr>
            </w:pPr>
            <w:r>
              <w:rPr>
                <w:rFonts w:ascii="Times New Roman" w:hAnsi="Times New Roman" w:cs="Times New Roman"/>
                <w:color w:val="auto"/>
              </w:rPr>
              <w:t>其他实质性要求2：</w:t>
            </w:r>
          </w:p>
        </w:tc>
        <w:tc>
          <w:tcPr>
            <w:tcW w:w="2412" w:type="dxa"/>
            <w:vMerge w:val="continue"/>
            <w:vAlign w:val="center"/>
          </w:tcPr>
          <w:p w14:paraId="2EF71E73">
            <w:pPr>
              <w:rPr>
                <w:rFonts w:ascii="Times New Roman" w:hAnsi="Times New Roman" w:cs="Times New Roman"/>
                <w:b/>
                <w:color w:val="auto"/>
              </w:rPr>
            </w:pPr>
          </w:p>
        </w:tc>
        <w:tc>
          <w:tcPr>
            <w:tcW w:w="1440" w:type="dxa"/>
            <w:vAlign w:val="center"/>
          </w:tcPr>
          <w:p w14:paraId="7369B357">
            <w:pPr>
              <w:kinsoku/>
              <w:topLinePunct/>
              <w:snapToGrid/>
              <w:jc w:val="center"/>
              <w:rPr>
                <w:rFonts w:ascii="Times New Roman" w:hAnsi="Times New Roman" w:cs="Times New Roman"/>
                <w:b/>
                <w:color w:val="auto"/>
              </w:rPr>
            </w:pPr>
            <w:r>
              <w:rPr>
                <w:rFonts w:ascii="Times New Roman" w:hAnsi="Times New Roman" w:cs="Times New Roman"/>
                <w:color w:val="auto"/>
              </w:rPr>
              <w:t>见响应文件第</w:t>
            </w:r>
            <w:r>
              <w:rPr>
                <w:rFonts w:ascii="Times New Roman" w:hAnsi="Times New Roman" w:cs="Times New Roman"/>
                <w:color w:val="auto"/>
                <w:u w:val="single"/>
              </w:rPr>
              <w:t xml:space="preserve">  </w:t>
            </w:r>
            <w:r>
              <w:rPr>
                <w:rFonts w:ascii="Times New Roman" w:hAnsi="Times New Roman" w:cs="Times New Roman"/>
                <w:color w:val="auto"/>
              </w:rPr>
              <w:t>页</w:t>
            </w:r>
          </w:p>
        </w:tc>
      </w:tr>
      <w:tr w14:paraId="75C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46" w:type="dxa"/>
            <w:vAlign w:val="center"/>
          </w:tcPr>
          <w:p w14:paraId="076B5ED6">
            <w:pPr>
              <w:kinsoku/>
              <w:topLinePunct/>
              <w:snapToGrid/>
              <w:jc w:val="center"/>
              <w:rPr>
                <w:rFonts w:ascii="Times New Roman" w:hAnsi="Times New Roman" w:cs="Times New Roman"/>
                <w:b/>
                <w:color w:val="auto"/>
              </w:rPr>
            </w:pPr>
            <w:r>
              <w:rPr>
                <w:rFonts w:ascii="Times New Roman" w:hAnsi="Times New Roman" w:cs="Times New Roman"/>
                <w:color w:val="auto"/>
              </w:rPr>
              <w:t>…</w:t>
            </w:r>
          </w:p>
        </w:tc>
        <w:tc>
          <w:tcPr>
            <w:tcW w:w="4991" w:type="dxa"/>
            <w:vAlign w:val="center"/>
          </w:tcPr>
          <w:p w14:paraId="3CA7D6A8">
            <w:pPr>
              <w:spacing w:line="360" w:lineRule="auto"/>
              <w:jc w:val="both"/>
              <w:rPr>
                <w:rFonts w:ascii="Times New Roman" w:hAnsi="Times New Roman" w:eastAsia="宋体" w:cs="Times New Roman"/>
                <w:color w:val="auto"/>
                <w:lang w:val="zh-CN"/>
              </w:rPr>
            </w:pPr>
            <w:r>
              <w:rPr>
                <w:rFonts w:ascii="Times New Roman" w:hAnsi="Times New Roman" w:cs="Times New Roman"/>
                <w:color w:val="auto"/>
              </w:rPr>
              <w:t>其他实质性要求……：</w:t>
            </w:r>
          </w:p>
        </w:tc>
        <w:tc>
          <w:tcPr>
            <w:tcW w:w="2412" w:type="dxa"/>
            <w:vMerge w:val="continue"/>
            <w:vAlign w:val="center"/>
          </w:tcPr>
          <w:p w14:paraId="2D0C1DBA">
            <w:pPr>
              <w:rPr>
                <w:rFonts w:ascii="Times New Roman" w:hAnsi="Times New Roman" w:cs="Times New Roman"/>
                <w:color w:val="auto"/>
              </w:rPr>
            </w:pPr>
          </w:p>
        </w:tc>
        <w:tc>
          <w:tcPr>
            <w:tcW w:w="1440" w:type="dxa"/>
            <w:vAlign w:val="center"/>
          </w:tcPr>
          <w:p w14:paraId="342AA654">
            <w:pPr>
              <w:kinsoku/>
              <w:topLinePunct/>
              <w:snapToGrid/>
              <w:jc w:val="center"/>
              <w:rPr>
                <w:rFonts w:ascii="Times New Roman" w:hAnsi="Times New Roman" w:cs="Times New Roman"/>
                <w:color w:val="auto"/>
              </w:rPr>
            </w:pPr>
            <w:r>
              <w:rPr>
                <w:rFonts w:ascii="Times New Roman" w:hAnsi="Times New Roman" w:cs="Times New Roman"/>
                <w:color w:val="auto"/>
              </w:rPr>
              <w:t>见响应文件第</w:t>
            </w:r>
            <w:r>
              <w:rPr>
                <w:rFonts w:ascii="Times New Roman" w:hAnsi="Times New Roman" w:cs="Times New Roman"/>
                <w:color w:val="auto"/>
                <w:u w:val="single"/>
              </w:rPr>
              <w:t xml:space="preserve">  </w:t>
            </w:r>
            <w:r>
              <w:rPr>
                <w:rFonts w:ascii="Times New Roman" w:hAnsi="Times New Roman" w:cs="Times New Roman"/>
                <w:color w:val="auto"/>
              </w:rPr>
              <w:t>页</w:t>
            </w:r>
          </w:p>
        </w:tc>
      </w:tr>
    </w:tbl>
    <w:p w14:paraId="1A926FB1">
      <w:pPr>
        <w:kinsoku/>
        <w:topLinePunct/>
        <w:spacing w:line="360" w:lineRule="auto"/>
        <w:ind w:right="420"/>
        <w:rPr>
          <w:rFonts w:ascii="Times New Roman" w:hAnsi="Times New Roman" w:cs="Times New Roman"/>
          <w:color w:val="auto"/>
        </w:rPr>
      </w:pPr>
      <w:r>
        <w:rPr>
          <w:rFonts w:ascii="Times New Roman" w:hAnsi="Times New Roman" w:cs="Times New Roman"/>
          <w:color w:val="auto"/>
        </w:rPr>
        <w:t>注：参照本格式和要求提供。</w:t>
      </w:r>
    </w:p>
    <w:p w14:paraId="220A4DCA">
      <w:pPr>
        <w:kinsoku/>
        <w:topLinePunct/>
        <w:spacing w:line="360" w:lineRule="auto"/>
        <w:ind w:right="420"/>
        <w:rPr>
          <w:rFonts w:ascii="Times New Roman" w:hAnsi="Times New Roman" w:cs="Times New Roman"/>
          <w:color w:val="auto"/>
        </w:rPr>
      </w:pPr>
    </w:p>
    <w:p w14:paraId="0846D896">
      <w:pPr>
        <w:widowControl w:val="0"/>
        <w:kinsoku/>
        <w:wordWrap w:val="0"/>
        <w:topLinePunct/>
        <w:autoSpaceDE/>
        <w:autoSpaceDN/>
        <w:adjustRightInd/>
        <w:snapToGrid/>
        <w:spacing w:line="360" w:lineRule="auto"/>
        <w:ind w:firstLine="480" w:firstLineChars="200"/>
        <w:jc w:val="center"/>
        <w:rPr>
          <w:rFonts w:ascii="Times New Roman" w:hAnsi="Times New Roman" w:eastAsia="宋体" w:cs="Times New Roman"/>
          <w:color w:val="auto"/>
          <w:szCs w:val="24"/>
        </w:rPr>
      </w:pPr>
      <w:r>
        <w:rPr>
          <w:rFonts w:ascii="Times New Roman" w:hAnsi="Times New Roman" w:eastAsia="宋体" w:cs="Times New Roman"/>
          <w:color w:val="auto"/>
          <w:szCs w:val="24"/>
        </w:rPr>
        <w:t>　　　　　　　　潜在承包人</w:t>
      </w:r>
      <w:r>
        <w:rPr>
          <w:rFonts w:ascii="Times New Roman" w:hAnsi="Times New Roman" w:cs="Times New Roman"/>
          <w:color w:val="auto"/>
        </w:rPr>
        <w:t>名称</w:t>
      </w:r>
      <w:r>
        <w:rPr>
          <w:rFonts w:ascii="Times New Roman" w:hAnsi="Times New Roman" w:eastAsia="宋体" w:cs="Times New Roman"/>
          <w:color w:val="auto"/>
          <w:spacing w:val="-6"/>
          <w:szCs w:val="24"/>
        </w:rPr>
        <w:t>(电子签名)</w:t>
      </w:r>
      <w:r>
        <w:rPr>
          <w:rFonts w:ascii="Times New Roman" w:hAnsi="Times New Roman" w:eastAsia="宋体" w:cs="Times New Roman"/>
          <w:color w:val="auto"/>
          <w:spacing w:val="-12"/>
          <w:szCs w:val="24"/>
        </w:rPr>
        <w:t>：</w:t>
      </w:r>
    </w:p>
    <w:p w14:paraId="2301875A">
      <w:pPr>
        <w:widowControl w:val="0"/>
        <w:kinsoku/>
        <w:wordWrap w:val="0"/>
        <w:topLinePunct/>
        <w:autoSpaceDE/>
        <w:autoSpaceDN/>
        <w:adjustRightInd/>
        <w:snapToGrid/>
        <w:spacing w:before="36" w:beforeLines="15" w:line="308" w:lineRule="auto"/>
        <w:ind w:firstLine="512" w:firstLineChars="200"/>
        <w:jc w:val="center"/>
        <w:rPr>
          <w:rFonts w:ascii="Times New Roman" w:hAnsi="Times New Roman" w:eastAsia="宋体" w:cs="Times New Roman"/>
          <w:color w:val="auto"/>
          <w:spacing w:val="4"/>
          <w:szCs w:val="24"/>
        </w:rPr>
      </w:pPr>
      <w:r>
        <w:rPr>
          <w:rFonts w:ascii="Times New Roman" w:hAnsi="Times New Roman" w:eastAsia="宋体" w:cs="Times New Roman"/>
          <w:color w:val="auto"/>
          <w:spacing w:val="8"/>
          <w:szCs w:val="24"/>
        </w:rPr>
        <w:t xml:space="preserve">             日期：　　年</w:t>
      </w:r>
      <w:r>
        <w:rPr>
          <w:rFonts w:ascii="Times New Roman" w:hAnsi="Times New Roman" w:eastAsia="宋体" w:cs="Times New Roman"/>
          <w:color w:val="auto"/>
          <w:spacing w:val="6"/>
          <w:szCs w:val="24"/>
        </w:rPr>
        <w:t xml:space="preserve"> </w:t>
      </w:r>
      <w:r>
        <w:rPr>
          <w:rFonts w:ascii="Times New Roman" w:hAnsi="Times New Roman" w:eastAsia="宋体" w:cs="Times New Roman"/>
          <w:color w:val="auto"/>
          <w:spacing w:val="4"/>
          <w:szCs w:val="24"/>
        </w:rPr>
        <w:t xml:space="preserve">  月    日</w:t>
      </w:r>
    </w:p>
    <w:p w14:paraId="55BAC5E7">
      <w:pPr>
        <w:kinsoku/>
        <w:topLinePunct/>
        <w:spacing w:line="360" w:lineRule="auto"/>
        <w:ind w:right="420"/>
        <w:rPr>
          <w:rFonts w:ascii="Times New Roman" w:hAnsi="Times New Roman" w:cs="Times New Roman"/>
          <w:color w:val="auto"/>
        </w:rPr>
      </w:pPr>
    </w:p>
    <w:p w14:paraId="768E1BAE">
      <w:pPr>
        <w:kinsoku/>
        <w:topLinePunct/>
        <w:spacing w:line="360" w:lineRule="auto"/>
        <w:ind w:right="420"/>
        <w:rPr>
          <w:rFonts w:ascii="Times New Roman" w:hAnsi="Times New Roman" w:cs="Times New Roman"/>
          <w:color w:val="auto"/>
        </w:rPr>
      </w:pPr>
    </w:p>
    <w:p w14:paraId="1FE73120">
      <w:pPr>
        <w:kinsoku/>
        <w:topLinePunct/>
        <w:spacing w:line="360" w:lineRule="auto"/>
        <w:ind w:right="420"/>
        <w:rPr>
          <w:rFonts w:ascii="Times New Roman" w:hAnsi="Times New Roman" w:cs="Times New Roman"/>
          <w:color w:val="auto"/>
        </w:rPr>
      </w:pPr>
    </w:p>
    <w:p w14:paraId="331BB71E">
      <w:pPr>
        <w:pStyle w:val="3"/>
        <w:kinsoku/>
        <w:topLinePunct/>
        <w:rPr>
          <w:rFonts w:ascii="Times New Roman" w:hAnsi="Times New Roman" w:eastAsia="宋体" w:cs="Times New Roman"/>
          <w:b w:val="0"/>
          <w:bCs w:val="0"/>
          <w:color w:val="auto"/>
          <w:spacing w:val="-1"/>
          <w:sz w:val="44"/>
          <w:szCs w:val="44"/>
          <w:lang w:val="zh-CN"/>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lang w:val="zh-CN"/>
          <w14:textOutline w14:w="5448" w14:cap="flat" w14:cmpd="sng" w14:algn="ctr">
            <w14:solidFill>
              <w14:srgbClr w14:val="000000"/>
            </w14:solidFill>
            <w14:prstDash w14:val="solid"/>
            <w14:miter w14:val="0"/>
          </w14:textOutline>
        </w:rPr>
        <w:t>资格要求、评审标准相应的资信资料</w:t>
      </w:r>
    </w:p>
    <w:p w14:paraId="74F375F2">
      <w:pPr>
        <w:rPr>
          <w:rFonts w:ascii="Times New Roman" w:hAnsi="Times New Roman" w:cs="Times New Roman"/>
          <w:color w:val="auto"/>
        </w:rPr>
      </w:pPr>
    </w:p>
    <w:p w14:paraId="21162602">
      <w:pPr>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(由潜在承包人根据项目需求自行编制)</w:t>
      </w:r>
    </w:p>
    <w:p w14:paraId="1E92AC45">
      <w:pPr>
        <w:spacing w:line="360" w:lineRule="auto"/>
        <w:rPr>
          <w:rFonts w:ascii="Times New Roman" w:hAnsi="Times New Roman" w:eastAsia="宋体" w:cs="Times New Roman"/>
          <w:color w:val="auto"/>
        </w:rPr>
      </w:pPr>
    </w:p>
    <w:p w14:paraId="35F88606">
      <w:pPr>
        <w:rPr>
          <w:rFonts w:ascii="Times New Roman" w:hAnsi="Times New Roman" w:eastAsia="宋体" w:cs="Times New Roman"/>
          <w:color w:val="auto"/>
        </w:rPr>
      </w:pPr>
      <w:r>
        <w:rPr>
          <w:rFonts w:ascii="Times New Roman" w:hAnsi="Times New Roman" w:eastAsia="宋体" w:cs="Times New Roman"/>
          <w:color w:val="auto"/>
        </w:rPr>
        <w:t>　　　　　　　　　　　　　　　　　　潜在承包人名称(</w:t>
      </w:r>
      <w:r>
        <w:rPr>
          <w:rFonts w:ascii="Times New Roman" w:hAnsi="Times New Roman" w:eastAsia="宋体" w:cs="Times New Roman"/>
          <w:color w:val="auto"/>
          <w:lang w:val="zh-CN"/>
        </w:rPr>
        <w:t>电子签名</w:t>
      </w:r>
      <w:r>
        <w:rPr>
          <w:rFonts w:ascii="Times New Roman" w:hAnsi="Times New Roman" w:eastAsia="宋体" w:cs="Times New Roman"/>
          <w:color w:val="auto"/>
        </w:rPr>
        <w:t>)：</w:t>
      </w:r>
    </w:p>
    <w:p w14:paraId="0E81CB16">
      <w:pPr>
        <w:widowControl w:val="0"/>
        <w:kinsoku/>
        <w:snapToGrid/>
        <w:spacing w:line="360" w:lineRule="auto"/>
        <w:jc w:val="both"/>
        <w:rPr>
          <w:rFonts w:ascii="Times New Roman" w:hAnsi="Times New Roman" w:cs="Times New Roman"/>
          <w:color w:val="auto"/>
          <w:u w:val="single"/>
        </w:rPr>
      </w:pPr>
      <w:r>
        <w:rPr>
          <w:rFonts w:ascii="Times New Roman" w:hAnsi="Times New Roman" w:eastAsia="宋体" w:cs="Times New Roman"/>
          <w:color w:val="auto"/>
        </w:rPr>
        <w:t>　　　　　　　　　　　　</w:t>
      </w:r>
    </w:p>
    <w:p w14:paraId="080E693F">
      <w:pPr>
        <w:rPr>
          <w:rFonts w:ascii="Times New Roman" w:hAnsi="Times New Roman" w:eastAsia="宋体" w:cs="Times New Roman"/>
          <w:color w:val="auto"/>
        </w:rPr>
      </w:pPr>
    </w:p>
    <w:p w14:paraId="51511A7F">
      <w:pPr>
        <w:rPr>
          <w:rFonts w:ascii="Times New Roman" w:hAnsi="Times New Roman" w:cs="Times New Roman"/>
          <w:color w:val="auto"/>
        </w:rPr>
      </w:pPr>
    </w:p>
    <w:p w14:paraId="4B4CB9E9">
      <w:pPr>
        <w:rPr>
          <w:rFonts w:ascii="Times New Roman" w:hAnsi="Times New Roman" w:cs="Times New Roman"/>
          <w:color w:val="auto"/>
        </w:rPr>
      </w:pPr>
    </w:p>
    <w:p w14:paraId="19BEE9CD">
      <w:pPr>
        <w:kinsoku/>
        <w:topLinePunct/>
        <w:spacing w:line="360" w:lineRule="auto"/>
        <w:ind w:right="420"/>
        <w:rPr>
          <w:rFonts w:ascii="Times New Roman" w:hAnsi="Times New Roman" w:cs="Times New Roman"/>
          <w:color w:val="auto"/>
        </w:rPr>
      </w:pPr>
    </w:p>
    <w:p w14:paraId="4D59C114">
      <w:pPr>
        <w:kinsoku/>
        <w:topLinePunct/>
        <w:ind w:firstLine="480" w:firstLineChars="200"/>
        <w:rPr>
          <w:rFonts w:ascii="Times New Roman" w:hAnsi="Times New Roman" w:eastAsia="宋体" w:cs="Times New Roman"/>
          <w:color w:val="auto"/>
          <w:spacing w:val="-2"/>
          <w:szCs w:val="24"/>
        </w:rPr>
      </w:pPr>
      <w:r>
        <w:rPr>
          <w:rFonts w:ascii="Times New Roman" w:hAnsi="Times New Roman" w:cs="Times New Roman"/>
          <w:color w:val="auto"/>
        </w:rPr>
        <w:t>　</w:t>
      </w:r>
    </w:p>
    <w:p w14:paraId="665F3EA5">
      <w:pPr>
        <w:rPr>
          <w:rFonts w:ascii="Times New Roman" w:hAnsi="Times New Roman" w:cs="Times New Roman"/>
          <w:color w:val="auto"/>
        </w:rPr>
        <w:sectPr>
          <w:pgSz w:w="11906" w:h="16838"/>
          <w:pgMar w:top="1440" w:right="1080" w:bottom="1440" w:left="1080" w:header="850" w:footer="992" w:gutter="0"/>
          <w:cols w:space="0" w:num="1"/>
          <w:titlePg/>
          <w:docGrid w:linePitch="312" w:charSpace="0"/>
        </w:sectPr>
      </w:pPr>
    </w:p>
    <w:p w14:paraId="6B406EE4">
      <w:pPr>
        <w:kinsoku/>
        <w:topLinePunct/>
        <w:rPr>
          <w:rFonts w:ascii="Times New Roman" w:hAnsi="Times New Roman" w:eastAsia="仿宋_GB2312" w:cs="Times New Roman"/>
          <w:color w:val="auto"/>
          <w:sz w:val="32"/>
          <w:szCs w:val="32"/>
        </w:rPr>
      </w:pPr>
    </w:p>
    <w:p w14:paraId="2DCA1A7A">
      <w:pPr>
        <w:kinsoku/>
        <w:topLinePunct/>
        <w:rPr>
          <w:rFonts w:ascii="Times New Roman" w:hAnsi="Times New Roman" w:eastAsia="仿宋_GB2312" w:cs="Times New Roman"/>
          <w:color w:val="auto"/>
          <w:sz w:val="32"/>
          <w:szCs w:val="32"/>
        </w:rPr>
      </w:pPr>
    </w:p>
    <w:p w14:paraId="23D9F054">
      <w:pPr>
        <w:kinsoku/>
        <w:topLinePunct/>
        <w:spacing w:line="360" w:lineRule="auto"/>
        <w:ind w:right="480"/>
        <w:jc w:val="center"/>
        <w:rPr>
          <w:rFonts w:ascii="Times New Roman" w:hAnsi="Times New Roman" w:eastAsia="宋体" w:cs="Times New Roman"/>
          <w:b/>
          <w:bCs/>
          <w:color w:val="auto"/>
          <w:szCs w:val="24"/>
        </w:rPr>
      </w:pPr>
    </w:p>
    <w:p w14:paraId="44B31FC7">
      <w:pPr>
        <w:kinsoku/>
        <w:wordWrap w:val="0"/>
        <w:topLinePunct/>
        <w:autoSpaceDE/>
        <w:autoSpaceDN/>
        <w:adjustRightInd/>
        <w:snapToGrid/>
        <w:jc w:val="center"/>
        <w:rPr>
          <w:rFonts w:ascii="Times New Roman" w:hAnsi="Times New Roman" w:eastAsia="黑体" w:cs="Times New Roman"/>
          <w:color w:val="auto"/>
          <w:sz w:val="52"/>
          <w:szCs w:val="52"/>
        </w:rPr>
      </w:pPr>
      <w:r>
        <w:rPr>
          <w:rFonts w:ascii="Times New Roman" w:hAnsi="Times New Roman" w:eastAsia="黑体" w:cs="Times New Roman"/>
          <w:color w:val="auto"/>
          <w:spacing w:val="-4"/>
          <w:sz w:val="52"/>
          <w:szCs w:val="52"/>
          <w14:textOutline w14:w="8712" w14:cap="flat" w14:cmpd="sng" w14:algn="ctr">
            <w14:solidFill>
              <w14:srgbClr w14:val="000000"/>
            </w14:solidFill>
            <w14:prstDash w14:val="solid"/>
            <w14:miter w14:val="0"/>
          </w14:textOutline>
        </w:rPr>
        <w:t>小额项目工程施工响应文件</w:t>
      </w:r>
    </w:p>
    <w:p w14:paraId="2887979E">
      <w:pPr>
        <w:kinsoku/>
        <w:topLinePunct/>
        <w:jc w:val="center"/>
        <w:rPr>
          <w:rFonts w:ascii="Times New Roman" w:hAnsi="Times New Roman" w:cs="Times New Roman"/>
          <w:color w:val="auto"/>
        </w:rPr>
      </w:pPr>
    </w:p>
    <w:p w14:paraId="7831EFE7">
      <w:pPr>
        <w:kinsoku/>
        <w:topLinePunct/>
        <w:jc w:val="center"/>
        <w:rPr>
          <w:rFonts w:ascii="Times New Roman" w:hAnsi="Times New Roman" w:cs="Times New Roman"/>
          <w:color w:val="auto"/>
        </w:rPr>
      </w:pPr>
    </w:p>
    <w:p w14:paraId="3427C037">
      <w:pPr>
        <w:pStyle w:val="3"/>
        <w:rPr>
          <w:rFonts w:ascii="Times New Roman" w:hAnsi="Times New Roman" w:cs="Times New Roman"/>
          <w:color w:val="auto"/>
        </w:rPr>
      </w:pPr>
      <w:r>
        <w:rPr>
          <w:rFonts w:ascii="Times New Roman" w:hAnsi="Times New Roman" w:cs="Times New Roman"/>
          <w:color w:val="auto"/>
        </w:rPr>
        <w:t>(封面)</w:t>
      </w:r>
    </w:p>
    <w:p w14:paraId="05CF23FB">
      <w:pPr>
        <w:kinsoku/>
        <w:topLinePunct/>
        <w:rPr>
          <w:rFonts w:ascii="Times New Roman" w:hAnsi="Times New Roman" w:cs="Times New Roman"/>
          <w:color w:val="auto"/>
        </w:rPr>
      </w:pPr>
    </w:p>
    <w:p w14:paraId="3505F1E7">
      <w:pPr>
        <w:kinsoku/>
        <w:wordWrap w:val="0"/>
        <w:topLinePunct/>
        <w:autoSpaceDE/>
        <w:autoSpaceDN/>
        <w:adjustRightInd/>
        <w:snapToGrid/>
        <w:rPr>
          <w:rFonts w:ascii="Times New Roman" w:hAnsi="Times New Roman" w:cs="Times New Roman"/>
          <w:color w:val="auto"/>
          <w:sz w:val="21"/>
        </w:rPr>
      </w:pPr>
    </w:p>
    <w:p w14:paraId="441133E1">
      <w:pPr>
        <w:kinsoku/>
        <w:wordWrap w:val="0"/>
        <w:topLinePunct/>
        <w:autoSpaceDE/>
        <w:autoSpaceDN/>
        <w:adjustRightInd/>
        <w:snapToGrid/>
        <w:rPr>
          <w:rFonts w:ascii="Times New Roman" w:hAnsi="Times New Roman" w:cs="Times New Roman"/>
          <w:color w:val="auto"/>
          <w:sz w:val="21"/>
        </w:rPr>
      </w:pPr>
    </w:p>
    <w:p w14:paraId="02A33A2C">
      <w:pPr>
        <w:kinsoku/>
        <w:wordWrap w:val="0"/>
        <w:topLinePunct/>
        <w:autoSpaceDE/>
        <w:autoSpaceDN/>
        <w:adjustRightInd/>
        <w:snapToGrid/>
        <w:spacing w:line="580" w:lineRule="exact"/>
        <w:rPr>
          <w:rFonts w:ascii="Times New Roman" w:hAnsi="Times New Roman" w:cs="Times New Roman"/>
          <w:color w:val="auto"/>
          <w:sz w:val="21"/>
        </w:rPr>
      </w:pPr>
    </w:p>
    <w:p w14:paraId="329FCC3C">
      <w:pPr>
        <w:kinsoku/>
        <w:wordWrap w:val="0"/>
        <w:topLinePunct/>
        <w:autoSpaceDE/>
        <w:autoSpaceDN/>
        <w:adjustRightInd/>
        <w:snapToGrid/>
        <w:spacing w:before="240" w:beforeLines="100" w:after="240" w:afterLines="100" w:line="580" w:lineRule="exact"/>
        <w:ind w:firstLine="1160" w:firstLineChars="400"/>
        <w:rPr>
          <w:rFonts w:ascii="Times New Roman" w:hAnsi="Times New Roman" w:eastAsia="仿宋" w:cs="Times New Roman"/>
          <w:color w:val="auto"/>
        </w:rPr>
      </w:pPr>
      <w:r>
        <w:rPr>
          <w:rFonts w:ascii="Times New Roman" w:hAnsi="Times New Roman" w:eastAsia="仿宋" w:cs="Times New Roman"/>
          <w:color w:val="auto"/>
          <w:spacing w:val="-5"/>
          <w:sz w:val="30"/>
          <w:szCs w:val="30"/>
        </w:rPr>
        <w:t>项目名称：</w:t>
      </w:r>
      <w:r>
        <w:rPr>
          <w:rFonts w:ascii="Times New Roman" w:hAnsi="Times New Roman" w:eastAsia="仿宋" w:cs="Times New Roman"/>
          <w:color w:val="auto"/>
          <w:sz w:val="30"/>
          <w:szCs w:val="30"/>
          <w:u w:val="single"/>
        </w:rPr>
        <w:t xml:space="preserve">                        </w:t>
      </w:r>
      <w:r>
        <w:rPr>
          <w:rFonts w:hint="eastAsia" w:ascii="Times New Roman" w:hAnsi="Times New Roman" w:eastAsia="仿宋" w:cs="Times New Roman"/>
          <w:color w:val="auto"/>
          <w:sz w:val="30"/>
          <w:szCs w:val="30"/>
          <w:u w:val="single"/>
        </w:rPr>
        <w:t xml:space="preserve">                                        </w:t>
      </w:r>
      <w:r>
        <w:rPr>
          <w:rFonts w:ascii="Times New Roman" w:hAnsi="Times New Roman" w:eastAsia="仿宋" w:cs="Times New Roman"/>
          <w:color w:val="auto"/>
          <w:sz w:val="30"/>
          <w:szCs w:val="30"/>
          <w:u w:val="single"/>
        </w:rPr>
        <w:t xml:space="preserve">                </w:t>
      </w:r>
    </w:p>
    <w:p w14:paraId="5AC8BE63">
      <w:pPr>
        <w:kinsoku/>
        <w:wordWrap w:val="0"/>
        <w:topLinePunct/>
        <w:autoSpaceDE/>
        <w:autoSpaceDN/>
        <w:adjustRightInd/>
        <w:snapToGrid/>
        <w:spacing w:before="240" w:beforeLines="100" w:after="240" w:afterLines="100" w:line="580" w:lineRule="exact"/>
        <w:ind w:firstLine="1184" w:firstLineChars="400"/>
        <w:rPr>
          <w:rFonts w:ascii="Times New Roman" w:hAnsi="Times New Roman" w:eastAsia="仿宋" w:cs="Times New Roman"/>
          <w:color w:val="auto"/>
          <w:spacing w:val="-2"/>
          <w:sz w:val="30"/>
          <w:szCs w:val="30"/>
          <w:u w:val="single"/>
        </w:rPr>
      </w:pPr>
      <w:r>
        <w:rPr>
          <w:rFonts w:ascii="Times New Roman" w:hAnsi="Times New Roman" w:eastAsia="仿宋" w:cs="Times New Roman"/>
          <w:color w:val="auto"/>
          <w:spacing w:val="-2"/>
          <w:sz w:val="30"/>
          <w:szCs w:val="30"/>
        </w:rPr>
        <w:t>文件内容：</w:t>
      </w:r>
      <w:r>
        <w:rPr>
          <w:rFonts w:ascii="Times New Roman" w:hAnsi="Times New Roman" w:eastAsia="仿宋" w:cs="Times New Roman"/>
          <w:color w:val="auto"/>
          <w:spacing w:val="-2"/>
          <w:sz w:val="30"/>
          <w:szCs w:val="30"/>
          <w:u w:val="single"/>
        </w:rPr>
        <w:t>　　　　技术标文件　　　　　　　　　　　</w:t>
      </w:r>
    </w:p>
    <w:p w14:paraId="444782F7">
      <w:pPr>
        <w:kinsoku/>
        <w:wordWrap w:val="0"/>
        <w:topLinePunct/>
        <w:autoSpaceDE/>
        <w:autoSpaceDN/>
        <w:adjustRightInd/>
        <w:snapToGrid/>
        <w:spacing w:before="240" w:beforeLines="100" w:after="240" w:afterLines="100" w:line="580" w:lineRule="exact"/>
        <w:ind w:firstLine="1184" w:firstLineChars="400"/>
        <w:rPr>
          <w:rFonts w:ascii="Times New Roman" w:hAnsi="Times New Roman" w:cs="Times New Roman"/>
          <w:color w:val="auto"/>
          <w:sz w:val="21"/>
        </w:rPr>
      </w:pPr>
      <w:r>
        <w:rPr>
          <w:rFonts w:ascii="Times New Roman" w:hAnsi="Times New Roman" w:eastAsia="仿宋" w:cs="Times New Roman"/>
          <w:color w:val="auto"/>
          <w:spacing w:val="-2"/>
          <w:sz w:val="30"/>
          <w:szCs w:val="30"/>
        </w:rPr>
        <w:t>潜在承包人：</w:t>
      </w:r>
      <w:r>
        <w:rPr>
          <w:rFonts w:ascii="Times New Roman" w:hAnsi="Times New Roman" w:eastAsia="仿宋" w:cs="Times New Roman"/>
          <w:color w:val="auto"/>
          <w:spacing w:val="-2"/>
          <w:sz w:val="30"/>
          <w:szCs w:val="30"/>
          <w:u w:val="single"/>
        </w:rPr>
        <w:t xml:space="preserve">              </w:t>
      </w:r>
      <w:r>
        <w:rPr>
          <w:rFonts w:ascii="Times New Roman" w:hAnsi="Times New Roman" w:eastAsia="仿宋" w:cs="Times New Roman"/>
          <w:color w:val="auto"/>
          <w:spacing w:val="-1"/>
          <w:sz w:val="30"/>
          <w:szCs w:val="30"/>
          <w:u w:val="single"/>
        </w:rPr>
        <w:t xml:space="preserve">    </w:t>
      </w:r>
      <w:r>
        <w:rPr>
          <w:rFonts w:hint="eastAsia" w:ascii="Times New Roman" w:hAnsi="Times New Roman" w:eastAsia="仿宋" w:cs="Times New Roman"/>
          <w:color w:val="auto"/>
          <w:spacing w:val="-1"/>
          <w:sz w:val="30"/>
          <w:szCs w:val="30"/>
          <w:u w:val="single"/>
        </w:rPr>
        <w:t xml:space="preserve">                             </w:t>
      </w:r>
      <w:r>
        <w:rPr>
          <w:rFonts w:ascii="Times New Roman" w:hAnsi="Times New Roman" w:eastAsia="仿宋" w:cs="Times New Roman"/>
          <w:color w:val="auto"/>
          <w:spacing w:val="-1"/>
          <w:sz w:val="30"/>
          <w:szCs w:val="30"/>
          <w:u w:val="single"/>
        </w:rPr>
        <w:t xml:space="preserve">         (电子签名)</w:t>
      </w:r>
      <w:r>
        <w:rPr>
          <w:rFonts w:hint="eastAsia" w:ascii="Times New Roman" w:hAnsi="Times New Roman" w:eastAsia="仿宋" w:cs="Times New Roman"/>
          <w:color w:val="auto"/>
          <w:spacing w:val="-1"/>
          <w:sz w:val="30"/>
          <w:szCs w:val="30"/>
          <w:u w:val="single"/>
        </w:rPr>
        <w:t xml:space="preserve"> </w:t>
      </w:r>
      <w:r>
        <w:rPr>
          <w:rFonts w:ascii="Times New Roman" w:hAnsi="Times New Roman" w:eastAsia="仿宋" w:cs="Times New Roman"/>
          <w:color w:val="auto"/>
          <w:sz w:val="30"/>
          <w:szCs w:val="30"/>
          <w:u w:val="single"/>
        </w:rPr>
        <w:t xml:space="preserve"> </w:t>
      </w:r>
    </w:p>
    <w:p w14:paraId="08345AD3">
      <w:pPr>
        <w:kinsoku/>
        <w:wordWrap w:val="0"/>
        <w:topLinePunct/>
        <w:autoSpaceDE/>
        <w:autoSpaceDN/>
        <w:adjustRightInd/>
        <w:snapToGrid/>
        <w:spacing w:before="240" w:beforeLines="100" w:after="240" w:afterLines="100" w:line="580" w:lineRule="exact"/>
        <w:ind w:firstLine="1168" w:firstLineChars="400"/>
        <w:rPr>
          <w:rFonts w:ascii="Times New Roman" w:hAnsi="Times New Roman" w:eastAsia="仿宋" w:cs="Times New Roman"/>
          <w:color w:val="auto"/>
          <w:sz w:val="30"/>
          <w:szCs w:val="30"/>
        </w:rPr>
      </w:pPr>
      <w:r>
        <w:rPr>
          <w:rFonts w:ascii="Times New Roman" w:hAnsi="Times New Roman" w:eastAsia="仿宋" w:cs="Times New Roman"/>
          <w:color w:val="auto"/>
          <w:spacing w:val="-4"/>
          <w:sz w:val="30"/>
          <w:szCs w:val="30"/>
        </w:rPr>
        <w:t>法定代</w:t>
      </w:r>
      <w:r>
        <w:rPr>
          <w:rFonts w:ascii="Times New Roman" w:hAnsi="Times New Roman" w:eastAsia="仿宋" w:cs="Times New Roman"/>
          <w:color w:val="auto"/>
          <w:spacing w:val="-3"/>
          <w:sz w:val="30"/>
          <w:szCs w:val="30"/>
        </w:rPr>
        <w:t>表</w:t>
      </w:r>
      <w:r>
        <w:rPr>
          <w:rFonts w:ascii="Times New Roman" w:hAnsi="Times New Roman" w:eastAsia="仿宋" w:cs="Times New Roman"/>
          <w:color w:val="auto"/>
          <w:spacing w:val="-2"/>
          <w:sz w:val="30"/>
          <w:szCs w:val="30"/>
        </w:rPr>
        <w:t>人或其委托代理人：</w:t>
      </w:r>
      <w:r>
        <w:rPr>
          <w:rFonts w:ascii="Times New Roman" w:hAnsi="Times New Roman" w:eastAsia="仿宋" w:cs="Times New Roman"/>
          <w:color w:val="auto"/>
          <w:spacing w:val="-2"/>
          <w:sz w:val="30"/>
          <w:szCs w:val="30"/>
          <w:u w:val="single"/>
        </w:rPr>
        <w:t xml:space="preserve">        </w:t>
      </w:r>
      <w:r>
        <w:rPr>
          <w:rFonts w:hint="eastAsia" w:ascii="Times New Roman" w:hAnsi="Times New Roman" w:eastAsia="仿宋" w:cs="Times New Roman"/>
          <w:color w:val="auto"/>
          <w:spacing w:val="-2"/>
          <w:sz w:val="30"/>
          <w:szCs w:val="30"/>
          <w:u w:val="single"/>
        </w:rPr>
        <w:t xml:space="preserve">             </w:t>
      </w:r>
      <w:r>
        <w:rPr>
          <w:rFonts w:ascii="Times New Roman" w:hAnsi="Times New Roman" w:eastAsia="仿宋" w:cs="Times New Roman"/>
          <w:color w:val="auto"/>
          <w:spacing w:val="-2"/>
          <w:sz w:val="30"/>
          <w:szCs w:val="30"/>
          <w:u w:val="single"/>
        </w:rPr>
        <w:t xml:space="preserve">   　(</w:t>
      </w:r>
      <w:r>
        <w:rPr>
          <w:rFonts w:ascii="Times New Roman" w:hAnsi="Times New Roman" w:eastAsia="仿宋" w:cs="Times New Roman"/>
          <w:color w:val="auto"/>
          <w:spacing w:val="-1"/>
          <w:sz w:val="30"/>
          <w:szCs w:val="30"/>
          <w:u w:val="single"/>
        </w:rPr>
        <w:t>电子签名</w:t>
      </w:r>
      <w:r>
        <w:rPr>
          <w:rFonts w:ascii="Times New Roman" w:hAnsi="Times New Roman" w:eastAsia="仿宋" w:cs="Times New Roman"/>
          <w:color w:val="auto"/>
          <w:spacing w:val="-2"/>
          <w:sz w:val="30"/>
          <w:szCs w:val="30"/>
          <w:u w:val="single"/>
        </w:rPr>
        <w:t>)</w:t>
      </w:r>
      <w:r>
        <w:rPr>
          <w:rFonts w:hint="eastAsia" w:ascii="Times New Roman" w:hAnsi="Times New Roman" w:eastAsia="仿宋" w:cs="Times New Roman"/>
          <w:color w:val="auto"/>
          <w:spacing w:val="-2"/>
          <w:sz w:val="30"/>
          <w:szCs w:val="30"/>
          <w:u w:val="single"/>
        </w:rPr>
        <w:t xml:space="preserve">  </w:t>
      </w:r>
      <w:r>
        <w:rPr>
          <w:rFonts w:ascii="Times New Roman" w:hAnsi="Times New Roman" w:eastAsia="仿宋" w:cs="Times New Roman"/>
          <w:color w:val="auto"/>
          <w:sz w:val="30"/>
          <w:szCs w:val="30"/>
          <w:u w:val="single"/>
        </w:rPr>
        <w:t xml:space="preserve"> </w:t>
      </w:r>
    </w:p>
    <w:p w14:paraId="17920B93">
      <w:pPr>
        <w:kinsoku/>
        <w:wordWrap w:val="0"/>
        <w:topLinePunct/>
        <w:autoSpaceDE/>
        <w:autoSpaceDN/>
        <w:adjustRightInd/>
        <w:snapToGrid/>
        <w:ind w:firstLine="420" w:firstLineChars="200"/>
        <w:rPr>
          <w:rFonts w:ascii="Times New Roman" w:hAnsi="Times New Roman" w:cs="Times New Roman"/>
          <w:color w:val="auto"/>
          <w:sz w:val="21"/>
        </w:rPr>
      </w:pPr>
    </w:p>
    <w:p w14:paraId="451FDAB0">
      <w:pPr>
        <w:kinsoku/>
        <w:wordWrap w:val="0"/>
        <w:topLinePunct/>
        <w:autoSpaceDE/>
        <w:autoSpaceDN/>
        <w:adjustRightInd/>
        <w:snapToGrid/>
        <w:ind w:firstLine="420" w:firstLineChars="200"/>
        <w:rPr>
          <w:rFonts w:ascii="Times New Roman" w:hAnsi="Times New Roman" w:cs="Times New Roman"/>
          <w:color w:val="auto"/>
          <w:sz w:val="21"/>
        </w:rPr>
      </w:pPr>
    </w:p>
    <w:p w14:paraId="74BAE07E">
      <w:pPr>
        <w:kinsoku/>
        <w:wordWrap w:val="0"/>
        <w:topLinePunct/>
        <w:autoSpaceDE/>
        <w:autoSpaceDN/>
        <w:adjustRightInd/>
        <w:snapToGrid/>
        <w:ind w:firstLine="420" w:firstLineChars="200"/>
        <w:rPr>
          <w:rFonts w:ascii="Times New Roman" w:hAnsi="Times New Roman" w:cs="Times New Roman"/>
          <w:color w:val="auto"/>
          <w:sz w:val="21"/>
        </w:rPr>
      </w:pPr>
    </w:p>
    <w:p w14:paraId="3F41BE49">
      <w:pPr>
        <w:kinsoku/>
        <w:wordWrap w:val="0"/>
        <w:topLinePunct/>
        <w:autoSpaceDE/>
        <w:autoSpaceDN/>
        <w:adjustRightInd/>
        <w:snapToGrid/>
        <w:ind w:firstLine="420" w:firstLineChars="200"/>
        <w:rPr>
          <w:rFonts w:ascii="Times New Roman" w:hAnsi="Times New Roman" w:cs="Times New Roman"/>
          <w:color w:val="auto"/>
          <w:sz w:val="21"/>
        </w:rPr>
      </w:pPr>
    </w:p>
    <w:p w14:paraId="7F12C8ED">
      <w:pPr>
        <w:kinsoku/>
        <w:wordWrap w:val="0"/>
        <w:topLinePunct/>
        <w:autoSpaceDE/>
        <w:autoSpaceDN/>
        <w:adjustRightInd/>
        <w:snapToGrid/>
        <w:ind w:firstLine="420" w:firstLineChars="200"/>
        <w:rPr>
          <w:rFonts w:ascii="Times New Roman" w:hAnsi="Times New Roman" w:cs="Times New Roman"/>
          <w:color w:val="auto"/>
          <w:sz w:val="21"/>
        </w:rPr>
      </w:pPr>
    </w:p>
    <w:p w14:paraId="6B7B6F09">
      <w:pPr>
        <w:kinsoku/>
        <w:wordWrap w:val="0"/>
        <w:topLinePunct/>
        <w:autoSpaceDE/>
        <w:autoSpaceDN/>
        <w:adjustRightInd/>
        <w:snapToGrid/>
        <w:ind w:firstLine="420" w:firstLineChars="200"/>
        <w:rPr>
          <w:rFonts w:ascii="Times New Roman" w:hAnsi="Times New Roman" w:cs="Times New Roman"/>
          <w:color w:val="auto"/>
          <w:sz w:val="21"/>
        </w:rPr>
      </w:pPr>
    </w:p>
    <w:p w14:paraId="4E4358DF">
      <w:pPr>
        <w:kinsoku/>
        <w:wordWrap w:val="0"/>
        <w:topLinePunct/>
        <w:autoSpaceDE/>
        <w:autoSpaceDN/>
        <w:adjustRightInd/>
        <w:snapToGrid/>
        <w:ind w:firstLine="420" w:firstLineChars="200"/>
        <w:rPr>
          <w:rFonts w:ascii="Times New Roman" w:hAnsi="Times New Roman" w:cs="Times New Roman"/>
          <w:color w:val="auto"/>
          <w:sz w:val="21"/>
        </w:rPr>
      </w:pPr>
    </w:p>
    <w:p w14:paraId="6365497B">
      <w:pPr>
        <w:kinsoku/>
        <w:wordWrap w:val="0"/>
        <w:topLinePunct/>
        <w:autoSpaceDE/>
        <w:autoSpaceDN/>
        <w:adjustRightInd/>
        <w:snapToGrid/>
        <w:ind w:firstLine="572" w:firstLineChars="200"/>
        <w:jc w:val="center"/>
        <w:rPr>
          <w:rFonts w:ascii="Times New Roman" w:hAnsi="Times New Roman" w:eastAsia="仿宋" w:cs="Times New Roman"/>
          <w:color w:val="auto"/>
          <w:sz w:val="30"/>
          <w:szCs w:val="30"/>
        </w:rPr>
      </w:pPr>
      <w:r>
        <w:rPr>
          <w:rFonts w:ascii="Times New Roman" w:hAnsi="Times New Roman" w:eastAsia="仿宋" w:cs="Times New Roman"/>
          <w:color w:val="auto"/>
          <w:spacing w:val="-7"/>
          <w:sz w:val="30"/>
          <w:szCs w:val="30"/>
        </w:rPr>
        <w:t xml:space="preserve">日期：      年     月     </w:t>
      </w:r>
      <w:r>
        <w:rPr>
          <w:rFonts w:ascii="Times New Roman" w:hAnsi="Times New Roman" w:eastAsia="仿宋" w:cs="Times New Roman"/>
          <w:color w:val="auto"/>
          <w:spacing w:val="-5"/>
          <w:sz w:val="30"/>
          <w:szCs w:val="30"/>
        </w:rPr>
        <w:t>日</w:t>
      </w:r>
    </w:p>
    <w:p w14:paraId="402D3B9B">
      <w:pPr>
        <w:kinsoku/>
        <w:topLinePunct/>
        <w:adjustRightInd/>
        <w:spacing w:before="1" w:line="218" w:lineRule="auto"/>
        <w:jc w:val="center"/>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sectPr>
          <w:pgSz w:w="11906" w:h="16838"/>
          <w:pgMar w:top="1440" w:right="1083" w:bottom="1440" w:left="1083" w:header="850" w:footer="850" w:gutter="0"/>
          <w:cols w:space="0" w:num="1"/>
        </w:sectPr>
      </w:pPr>
    </w:p>
    <w:p w14:paraId="40790AF1">
      <w:pPr>
        <w:pStyle w:val="3"/>
        <w:kinsoku/>
        <w:topLinePunct/>
        <w:rPr>
          <w:rFonts w:ascii="Times New Roman" w:hAnsi="Times New Roman"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cs="Times New Roman"/>
          <w:b w:val="0"/>
          <w:bCs w:val="0"/>
          <w:color w:val="auto"/>
          <w:spacing w:val="-1"/>
          <w:sz w:val="44"/>
          <w:szCs w:val="44"/>
          <w14:textOutline w14:w="5448" w14:cap="flat" w14:cmpd="sng" w14:algn="ctr">
            <w14:solidFill>
              <w14:srgbClr w14:val="000000"/>
            </w14:solidFill>
            <w14:prstDash w14:val="solid"/>
            <w14:miter w14:val="0"/>
          </w14:textOutline>
        </w:rPr>
        <w:t>目   录</w:t>
      </w:r>
    </w:p>
    <w:p w14:paraId="0367EADA">
      <w:pPr>
        <w:widowControl w:val="0"/>
        <w:ind w:firstLine="422" w:firstLineChars="150"/>
        <w:rPr>
          <w:rFonts w:ascii="Times New Roman" w:hAnsi="Times New Roman" w:eastAsia="仿宋_GB2312" w:cs="Times New Roman"/>
          <w:b/>
          <w:bCs/>
          <w:color w:val="auto"/>
          <w:sz w:val="28"/>
          <w:szCs w:val="28"/>
        </w:rPr>
      </w:pPr>
    </w:p>
    <w:p w14:paraId="7ABF4880">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1.施工组织设计…………………………………………………………………(页码)</w:t>
      </w:r>
    </w:p>
    <w:p w14:paraId="72891433">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2.针对本工程发包人特殊要求的技术措施…………………………………………(页码)</w:t>
      </w:r>
    </w:p>
    <w:p w14:paraId="59B0BA8E">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3.技术响应承诺书(如智能评审)…………………………………………………(页码)</w:t>
      </w:r>
    </w:p>
    <w:p w14:paraId="39C8580C">
      <w:pPr>
        <w:kinsoku/>
        <w:rPr>
          <w:rFonts w:ascii="Times New Roman" w:hAnsi="Times New Roman" w:eastAsia="宋体" w:cs="Times New Roman"/>
          <w:b/>
          <w:bCs/>
          <w:color w:val="auto"/>
        </w:rPr>
      </w:pPr>
    </w:p>
    <w:p w14:paraId="3B7D5647">
      <w:pPr>
        <w:kinsoku/>
        <w:rPr>
          <w:rFonts w:ascii="Times New Roman" w:hAnsi="Times New Roman" w:eastAsia="宋体" w:cs="Times New Roman"/>
          <w:b/>
          <w:bCs/>
          <w:color w:val="auto"/>
        </w:rPr>
      </w:pPr>
    </w:p>
    <w:p w14:paraId="2B0805BB">
      <w:pPr>
        <w:kinsoku/>
        <w:spacing w:line="400" w:lineRule="exact"/>
        <w:rPr>
          <w:rFonts w:ascii="Times New Roman" w:hAnsi="Times New Roman" w:eastAsia="宋体" w:cs="Times New Roman"/>
          <w:b/>
          <w:color w:val="auto"/>
          <w:sz w:val="32"/>
          <w:szCs w:val="32"/>
        </w:rPr>
      </w:pPr>
      <w:r>
        <w:rPr>
          <w:rFonts w:ascii="Times New Roman" w:hAnsi="Times New Roman" w:eastAsia="宋体" w:cs="Times New Roman"/>
          <w:b/>
          <w:bCs/>
          <w:color w:val="auto"/>
        </w:rPr>
        <w:t>注：以上目录是编制潜在承包人响应文件的基本格式要求，各潜在承包人可根据自身情况进一步细化。各潜在承包人请务必在投标工具中对应评审标准关联相应文件。</w:t>
      </w:r>
    </w:p>
    <w:p w14:paraId="5DA2AE35"/>
    <w:p w14:paraId="3690D06B"/>
    <w:p w14:paraId="42F3E75E"/>
    <w:p w14:paraId="5CA25594"/>
    <w:p w14:paraId="6864094C"/>
    <w:p w14:paraId="1425366F"/>
    <w:p w14:paraId="3B73A448"/>
    <w:p w14:paraId="2AE8C080"/>
    <w:p w14:paraId="3F6861C3"/>
    <w:p w14:paraId="1EC06C93"/>
    <w:p w14:paraId="3A97C6C9"/>
    <w:p w14:paraId="315FA170"/>
    <w:p w14:paraId="0FEE5CFD"/>
    <w:p w14:paraId="541456C9"/>
    <w:p w14:paraId="6A6B284E"/>
    <w:p w14:paraId="1BB72FAB"/>
    <w:p w14:paraId="6741723A"/>
    <w:p w14:paraId="6AA5B920"/>
    <w:p w14:paraId="7C5FD37E"/>
    <w:p w14:paraId="2358BEC3"/>
    <w:p w14:paraId="76559BC5"/>
    <w:p w14:paraId="79F4DF5F"/>
    <w:p w14:paraId="182E6BB7"/>
    <w:p w14:paraId="1C05D981"/>
    <w:p w14:paraId="7989CE72"/>
    <w:p w14:paraId="747536A5"/>
    <w:p w14:paraId="5E7E3770"/>
    <w:p w14:paraId="0354C9E2"/>
    <w:p w14:paraId="2E52A448"/>
    <w:p w14:paraId="48B2189C"/>
    <w:p w14:paraId="6C003027"/>
    <w:p w14:paraId="5B35EEB9"/>
    <w:p w14:paraId="5B8DCEB7"/>
    <w:p w14:paraId="7664F6C2"/>
    <w:p w14:paraId="2E63033B"/>
    <w:p w14:paraId="441EB610"/>
    <w:p w14:paraId="4D1E23E5"/>
    <w:p w14:paraId="69DD07C9">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施工组织设计</w:t>
      </w:r>
    </w:p>
    <w:p w14:paraId="3AF1A88F">
      <w:pPr>
        <w:jc w:val="center"/>
        <w:rPr>
          <w:rFonts w:asciiTheme="minorEastAsia" w:hAnsiTheme="minorEastAsia" w:eastAsiaTheme="minorEastAsia"/>
        </w:rPr>
      </w:pPr>
      <w:r>
        <w:rPr>
          <w:rFonts w:hint="eastAsia" w:asciiTheme="minorEastAsia" w:hAnsiTheme="minorEastAsia" w:eastAsiaTheme="minorEastAsia"/>
          <w:shd w:val="pct15" w:color="auto" w:fill="FFFFFF"/>
        </w:rPr>
        <w:t>（如前附表约定实行技术响应承诺制，可不作编制）</w:t>
      </w:r>
    </w:p>
    <w:p w14:paraId="720E26F9"/>
    <w:p w14:paraId="5B970297"/>
    <w:p w14:paraId="75E4CF51"/>
    <w:p w14:paraId="04077CC3"/>
    <w:p w14:paraId="6554C694"/>
    <w:p w14:paraId="03AB0300"/>
    <w:p w14:paraId="174B3F76"/>
    <w:p w14:paraId="7ABF174D"/>
    <w:p w14:paraId="404FBB11"/>
    <w:p w14:paraId="086CC2F5"/>
    <w:p w14:paraId="31657A17"/>
    <w:p w14:paraId="64E28398"/>
    <w:p w14:paraId="5BF282A4"/>
    <w:p w14:paraId="614CB921"/>
    <w:p w14:paraId="702DD9DD"/>
    <w:p w14:paraId="1269E7BC"/>
    <w:p w14:paraId="2C89D78B"/>
    <w:p w14:paraId="532CC434"/>
    <w:p w14:paraId="4716B103"/>
    <w:p w14:paraId="045C9AD0"/>
    <w:p w14:paraId="363922D3"/>
    <w:p w14:paraId="2F2BC5D4"/>
    <w:p w14:paraId="1FD7B346">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针对本工程发包人特殊要求的技术措施</w:t>
      </w:r>
    </w:p>
    <w:p w14:paraId="6EE70A2B">
      <w:pPr>
        <w:jc w:val="center"/>
        <w:rPr>
          <w:rFonts w:asciiTheme="minorEastAsia" w:hAnsiTheme="minorEastAsia" w:eastAsiaTheme="minorEastAsia"/>
        </w:rPr>
        <w:sectPr>
          <w:headerReference r:id="rId29" w:type="first"/>
          <w:footerReference r:id="rId31" w:type="first"/>
          <w:headerReference r:id="rId28" w:type="default"/>
          <w:footerReference r:id="rId30" w:type="default"/>
          <w:pgSz w:w="11906" w:h="16838"/>
          <w:pgMar w:top="1440" w:right="1080" w:bottom="1440" w:left="1080" w:header="850" w:footer="992" w:gutter="0"/>
          <w:cols w:space="0" w:num="1"/>
          <w:titlePg/>
          <w:docGrid w:linePitch="312" w:charSpace="0"/>
        </w:sectPr>
      </w:pPr>
      <w:r>
        <w:rPr>
          <w:rFonts w:hint="eastAsia" w:asciiTheme="minorEastAsia" w:hAnsiTheme="minorEastAsia" w:eastAsiaTheme="minorEastAsia"/>
          <w:shd w:val="pct15" w:color="auto" w:fill="FFFFFF"/>
        </w:rPr>
        <w:t>（如前附表约定实行技术响应承诺制，可不作编制）</w:t>
      </w:r>
    </w:p>
    <w:p w14:paraId="42F2CB6A">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技术响应承诺书</w:t>
      </w:r>
    </w:p>
    <w:p w14:paraId="772489A8">
      <w:pPr>
        <w:kinsoku/>
        <w:topLinePunct/>
        <w:spacing w:line="360" w:lineRule="auto"/>
        <w:ind w:right="480"/>
        <w:jc w:val="center"/>
        <w:rPr>
          <w:rFonts w:ascii="Times New Roman" w:hAnsi="Times New Roman" w:eastAsia="黑体" w:cs="Times New Roman"/>
          <w:b/>
          <w:color w:val="auto"/>
          <w:szCs w:val="24"/>
        </w:rPr>
      </w:pPr>
      <w:r>
        <w:rPr>
          <w:rFonts w:ascii="Times New Roman" w:hAnsi="Times New Roman" w:eastAsia="宋体" w:cs="Times New Roman"/>
          <w:color w:val="auto"/>
        </w:rPr>
        <w:t>(宜适用于最低价法、合理低价法工程施工项目)</w:t>
      </w:r>
    </w:p>
    <w:p w14:paraId="0DD43D41">
      <w:pPr>
        <w:kinsoku/>
        <w:topLinePunct/>
        <w:snapToGrid/>
        <w:spacing w:line="360" w:lineRule="auto"/>
        <w:ind w:firstLine="480" w:firstLineChars="200"/>
        <w:rPr>
          <w:rFonts w:ascii="Times New Roman" w:hAnsi="Times New Roman" w:eastAsia="宋体" w:cs="Times New Roman"/>
          <w:color w:val="auto"/>
          <w:szCs w:val="24"/>
        </w:rPr>
      </w:pPr>
    </w:p>
    <w:p w14:paraId="77C674B6">
      <w:pPr>
        <w:kinsoku/>
        <w:topLinePunct/>
        <w:snapToGrid/>
        <w:spacing w:line="400" w:lineRule="exact"/>
        <w:ind w:firstLine="480" w:firstLineChars="200"/>
        <w:rPr>
          <w:rFonts w:ascii="Times New Roman" w:hAnsi="Times New Roman" w:cs="Times New Roman"/>
          <w:color w:val="auto"/>
          <w:szCs w:val="24"/>
        </w:rPr>
      </w:pPr>
      <w:r>
        <w:rPr>
          <w:rFonts w:ascii="Times New Roman" w:hAnsi="Times New Roman" w:eastAsia="宋体" w:cs="Times New Roman"/>
          <w:color w:val="auto"/>
          <w:szCs w:val="24"/>
        </w:rPr>
        <w:t xml:space="preserve">我公司一旦成为成交人，针对项目特点，在施工技术方面做如下承诺： </w:t>
      </w:r>
    </w:p>
    <w:p w14:paraId="57766D5B">
      <w:pPr>
        <w:kinsoku/>
        <w:topLinePunct/>
        <w:snapToGrid/>
        <w:spacing w:line="400" w:lineRule="exact"/>
        <w:ind w:firstLine="480" w:firstLineChars="200"/>
        <w:rPr>
          <w:rFonts w:ascii="Times New Roman" w:hAnsi="Times New Roman" w:cs="Times New Roman"/>
          <w:color w:val="auto"/>
          <w:szCs w:val="24"/>
        </w:rPr>
      </w:pPr>
      <w:r>
        <w:rPr>
          <w:rFonts w:ascii="Times New Roman" w:hAnsi="Times New Roman" w:eastAsia="宋体" w:cs="Times New Roman"/>
          <w:color w:val="auto"/>
          <w:szCs w:val="24"/>
        </w:rPr>
        <w:t xml:space="preserve">1.我公司将响应交易文件的发包需求，结合项目实际情况，制定详细的施工技术方案，合理配置施工机械设备及布置施工总平面图，满足各个施工阶段的要求。 </w:t>
      </w:r>
    </w:p>
    <w:p w14:paraId="3AD5FBFF">
      <w:pPr>
        <w:kinsoku/>
        <w:topLinePunct/>
        <w:snapToGrid/>
        <w:spacing w:line="400" w:lineRule="exact"/>
        <w:ind w:firstLine="480" w:firstLineChars="200"/>
        <w:rPr>
          <w:rFonts w:ascii="Times New Roman" w:hAnsi="Times New Roman" w:cs="Times New Roman"/>
          <w:color w:val="auto"/>
          <w:szCs w:val="24"/>
        </w:rPr>
      </w:pPr>
      <w:r>
        <w:rPr>
          <w:rFonts w:ascii="Times New Roman" w:hAnsi="Times New Roman" w:eastAsia="宋体" w:cs="Times New Roman"/>
          <w:color w:val="auto"/>
          <w:szCs w:val="24"/>
        </w:rPr>
        <w:t xml:space="preserve">2.我公司将统一安排施工进度计划，按交易文件要求，在保证质量、安全的前提下，选择合理的施工方案，精心组织立体交叉施工，并将在资金、劳动力的投入上编制计划书，确保在合同工期内完成全部工程内容。 </w:t>
      </w:r>
    </w:p>
    <w:p w14:paraId="751ECD95">
      <w:pPr>
        <w:kinsoku/>
        <w:topLinePunct/>
        <w:snapToGrid/>
        <w:spacing w:line="400" w:lineRule="exact"/>
        <w:ind w:firstLine="480" w:firstLineChars="200"/>
        <w:rPr>
          <w:rFonts w:ascii="Times New Roman" w:hAnsi="Times New Roman" w:cs="Times New Roman"/>
          <w:color w:val="auto"/>
          <w:szCs w:val="24"/>
        </w:rPr>
      </w:pPr>
      <w:r>
        <w:rPr>
          <w:rFonts w:ascii="Times New Roman" w:hAnsi="Times New Roman" w:eastAsia="宋体" w:cs="Times New Roman"/>
          <w:color w:val="auto"/>
          <w:szCs w:val="24"/>
        </w:rPr>
        <w:t xml:space="preserve">3.我公司将建立严格的质量保证体系，确保项目质量，加强施工质量验收制度，绝不违章施工，绝不使用不合格材料，严格执行国家、省、市现行的有关施工验收规范和质量检验评定标准，服从业主和监理的管理，并在施工过程中诚恳地接受各级政府质量监督部门和社会各界人士的监督，确保项目质量验收合格或一次性验收合格。 </w:t>
      </w:r>
    </w:p>
    <w:p w14:paraId="4299FE28">
      <w:pPr>
        <w:kinsoku/>
        <w:topLinePunct/>
        <w:snapToGrid/>
        <w:spacing w:line="400" w:lineRule="exact"/>
        <w:ind w:firstLine="480" w:firstLineChars="200"/>
        <w:rPr>
          <w:rFonts w:ascii="Times New Roman" w:hAnsi="Times New Roman" w:cs="Times New Roman"/>
          <w:color w:val="auto"/>
          <w:szCs w:val="24"/>
        </w:rPr>
      </w:pPr>
      <w:r>
        <w:rPr>
          <w:rFonts w:ascii="Times New Roman" w:hAnsi="Times New Roman" w:eastAsia="宋体" w:cs="Times New Roman"/>
          <w:color w:val="auto"/>
          <w:szCs w:val="24"/>
        </w:rPr>
        <w:t xml:space="preserve">4.我公司将建立严格的安全及文明施工和环保措施，认真遵守和执行国家、地方和行业部门颁发的建设工程管理规定和条例，确保工程无重大安全事故，安全等级达到合格工地标准，争创文明标化工地。 </w:t>
      </w:r>
    </w:p>
    <w:p w14:paraId="357BAA73">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xml:space="preserve">5.我公司一旦成交，将在成交通知书领取时提供施工组织设计。 </w:t>
      </w:r>
    </w:p>
    <w:p w14:paraId="1848D260">
      <w:pPr>
        <w:kinsoku/>
        <w:topLinePunct/>
        <w:snapToGrid/>
        <w:spacing w:line="400" w:lineRule="exact"/>
        <w:ind w:left="2" w:leftChars="1" w:firstLine="480" w:firstLineChars="200"/>
        <w:rPr>
          <w:rFonts w:ascii="Times New Roman" w:hAnsi="Times New Roman" w:cs="Times New Roman"/>
          <w:color w:val="auto"/>
        </w:rPr>
      </w:pPr>
      <w:r>
        <w:rPr>
          <w:rFonts w:ascii="Times New Roman" w:hAnsi="Times New Roman" w:eastAsia="宋体" w:cs="Times New Roman"/>
          <w:color w:val="auto"/>
          <w:szCs w:val="24"/>
        </w:rPr>
        <w:t>我公司在确定为成交人后若未能完成以上承诺，同意</w:t>
      </w:r>
      <w:r>
        <w:rPr>
          <w:rFonts w:ascii="Times New Roman" w:hAnsi="Times New Roman" w:eastAsia="宋体" w:cs="Times New Roman"/>
          <w:color w:val="auto"/>
          <w:szCs w:val="24"/>
          <w:lang w:val="zh-CN"/>
        </w:rPr>
        <w:t>你单位</w:t>
      </w:r>
      <w:r>
        <w:rPr>
          <w:rFonts w:ascii="Times New Roman" w:hAnsi="Times New Roman" w:eastAsia="宋体" w:cs="Times New Roman"/>
          <w:color w:val="auto"/>
          <w:szCs w:val="24"/>
        </w:rPr>
        <w:t>取消我单位成交资格的处理。</w:t>
      </w:r>
      <w:r>
        <w:rPr>
          <w:rFonts w:ascii="Times New Roman" w:hAnsi="Times New Roman" w:eastAsia="宋体" w:cs="Times New Roman"/>
          <w:color w:val="auto"/>
          <w:szCs w:val="24"/>
          <w:lang w:val="zh-CN"/>
        </w:rPr>
        <w:t>有权拒绝我单位在一定时期内进入你单位进行项目建设或其他经营活动，并接受因失信行为限制参加</w:t>
      </w:r>
      <w:r>
        <w:rPr>
          <w:rFonts w:ascii="Times New Roman" w:hAnsi="Times New Roman" w:eastAsia="宋体" w:cs="Times New Roman"/>
          <w:color w:val="auto"/>
          <w:szCs w:val="24"/>
        </w:rPr>
        <w:t>城投集团小额工程</w:t>
      </w:r>
      <w:r>
        <w:rPr>
          <w:rFonts w:ascii="Times New Roman" w:hAnsi="Times New Roman" w:eastAsia="宋体" w:cs="Times New Roman"/>
          <w:color w:val="auto"/>
          <w:szCs w:val="24"/>
          <w:lang w:val="zh-CN"/>
        </w:rPr>
        <w:t>交易活动。由此引起的相应损失均由我单位承担。</w:t>
      </w:r>
    </w:p>
    <w:p w14:paraId="4E3B195D">
      <w:pPr>
        <w:kinsoku/>
        <w:topLinePunct/>
        <w:rPr>
          <w:rFonts w:ascii="Times New Roman" w:hAnsi="Times New Roman" w:cs="Times New Roman"/>
          <w:color w:val="auto"/>
        </w:rPr>
      </w:pPr>
    </w:p>
    <w:p w14:paraId="21716F9A">
      <w:pPr>
        <w:kinsoku/>
        <w:topLinePunct/>
        <w:snapToGrid/>
        <w:spacing w:line="360" w:lineRule="auto"/>
        <w:ind w:firstLine="5280" w:firstLineChars="2200"/>
        <w:rPr>
          <w:rFonts w:ascii="Times New Roman" w:hAnsi="Times New Roman" w:eastAsia="宋体" w:cs="Times New Roman"/>
          <w:color w:val="auto"/>
          <w:szCs w:val="24"/>
        </w:rPr>
      </w:pPr>
    </w:p>
    <w:p w14:paraId="2DF72274">
      <w:pPr>
        <w:kinsoku/>
        <w:topLinePunct/>
        <w:snapToGrid/>
        <w:spacing w:line="360" w:lineRule="auto"/>
        <w:jc w:val="both"/>
        <w:rPr>
          <w:rFonts w:ascii="Times New Roman" w:hAnsi="Times New Roman" w:eastAsia="宋体" w:cs="Times New Roman"/>
          <w:color w:val="auto"/>
          <w:szCs w:val="24"/>
        </w:rPr>
      </w:pPr>
      <w:r>
        <w:rPr>
          <w:rFonts w:ascii="Times New Roman" w:hAnsi="Times New Roman" w:eastAsia="宋体" w:cs="Times New Roman"/>
          <w:color w:val="auto"/>
          <w:szCs w:val="24"/>
        </w:rPr>
        <w:t xml:space="preserve">　　　　　　　　　　　　　　　　　　　　　潜在承包人名称(电子签名) ： </w:t>
      </w:r>
    </w:p>
    <w:p w14:paraId="10A744C2">
      <w:pPr>
        <w:kinsoku/>
        <w:topLinePunct/>
        <w:snapToGrid/>
        <w:spacing w:line="360" w:lineRule="auto"/>
        <w:jc w:val="both"/>
        <w:rPr>
          <w:rFonts w:ascii="Times New Roman" w:hAnsi="Times New Roman" w:cs="Times New Roman"/>
          <w:color w:val="auto"/>
          <w:u w:val="single"/>
        </w:rPr>
      </w:pPr>
      <w:r>
        <w:rPr>
          <w:rFonts w:ascii="Times New Roman" w:hAnsi="Times New Roman" w:eastAsia="宋体" w:cs="Times New Roman"/>
          <w:color w:val="auto"/>
          <w:szCs w:val="24"/>
        </w:rPr>
        <w:t>　　　　　　　　　　　　　　　　　　　　　</w:t>
      </w:r>
      <w:r>
        <w:rPr>
          <w:rFonts w:ascii="Times New Roman" w:hAnsi="Times New Roman" w:cs="Times New Roman"/>
          <w:color w:val="auto"/>
        </w:rPr>
        <w:t>日期：  年   月   日</w:t>
      </w:r>
    </w:p>
    <w:p w14:paraId="3FDF9883">
      <w:pPr>
        <w:kinsoku/>
        <w:topLinePunct/>
        <w:snapToGrid/>
        <w:spacing w:line="360" w:lineRule="auto"/>
        <w:ind w:firstLine="6960" w:firstLineChars="2900"/>
        <w:rPr>
          <w:rFonts w:ascii="Times New Roman" w:hAnsi="Times New Roman" w:cs="Times New Roman"/>
          <w:color w:val="auto"/>
          <w:szCs w:val="24"/>
        </w:rPr>
      </w:pPr>
    </w:p>
    <w:p w14:paraId="74466250">
      <w:pPr>
        <w:kinsoku/>
        <w:topLinePunct/>
        <w:spacing w:line="360" w:lineRule="auto"/>
        <w:rPr>
          <w:rFonts w:ascii="Times New Roman" w:hAnsi="Times New Roman" w:eastAsia="仿宋_GB2312" w:cs="Times New Roman"/>
          <w:color w:val="auto"/>
          <w:szCs w:val="24"/>
        </w:rPr>
        <w:sectPr>
          <w:pgSz w:w="11906" w:h="16838"/>
          <w:pgMar w:top="1440" w:right="1080" w:bottom="1440" w:left="1080" w:header="850" w:footer="992" w:gutter="0"/>
          <w:cols w:space="0" w:num="1"/>
          <w:titlePg/>
          <w:docGrid w:linePitch="312" w:charSpace="0"/>
        </w:sectPr>
      </w:pPr>
    </w:p>
    <w:p w14:paraId="773868F0">
      <w:pPr>
        <w:shd w:val="clear" w:color="auto" w:fill="auto"/>
        <w:spacing w:line="360" w:lineRule="auto"/>
        <w:jc w:val="center"/>
        <w:outlineLvl w:val="1"/>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实质性响应承诺函</w:t>
      </w:r>
    </w:p>
    <w:p w14:paraId="59CE07D8">
      <w:pPr>
        <w:pStyle w:val="8"/>
        <w:shd w:val="clear" w:color="auto" w:fill="auto"/>
        <w:spacing w:line="360" w:lineRule="auto"/>
        <w:ind w:left="0"/>
        <w:rPr>
          <w:color w:val="auto"/>
          <w:szCs w:val="24"/>
          <w:highlight w:val="none"/>
        </w:rPr>
      </w:pPr>
      <w:r>
        <w:rPr>
          <w:rFonts w:hint="eastAsia" w:hAnsi="宋体" w:cs="宋体"/>
          <w:b/>
          <w:bCs/>
          <w:color w:val="auto"/>
          <w:szCs w:val="24"/>
          <w:highlight w:val="none"/>
        </w:rPr>
        <w:t>杭州临江环境能源有限公司：</w:t>
      </w:r>
    </w:p>
    <w:p w14:paraId="19F6DDE7">
      <w:pPr>
        <w:pStyle w:val="48"/>
        <w:shd w:val="clear" w:color="auto" w:fill="auto"/>
        <w:adjustRightInd w:val="0"/>
        <w:snapToGrid w:val="0"/>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u w:val="single"/>
          <w:lang w:val="en-US" w:eastAsia="zh-CN" w:bidi="ar-SA"/>
        </w:rPr>
        <w:t>（承包人名称）</w:t>
      </w:r>
      <w:r>
        <w:rPr>
          <w:rFonts w:hint="eastAsia" w:ascii="宋体" w:hAnsi="宋体" w:eastAsia="宋体" w:cs="宋体"/>
          <w:kern w:val="2"/>
          <w:sz w:val="24"/>
          <w:szCs w:val="24"/>
          <w:highlight w:val="none"/>
          <w:lang w:val="en-US" w:eastAsia="zh-CN" w:bidi="ar-SA"/>
        </w:rPr>
        <w:t>承诺响应交易文件第七章“技术标准和要求”中“四、验收标准”、“五、质保期”中</w:t>
      </w:r>
      <w:r>
        <w:rPr>
          <w:rFonts w:hint="eastAsia" w:hAnsi="宋体"/>
          <w:color w:val="auto"/>
          <w:sz w:val="24"/>
          <w:szCs w:val="24"/>
          <w:highlight w:val="none"/>
        </w:rPr>
        <w:t>带“</w:t>
      </w:r>
      <w:r>
        <w:rPr>
          <w:rFonts w:hint="eastAsia"/>
          <w:color w:val="auto"/>
          <w:sz w:val="24"/>
          <w:szCs w:val="24"/>
          <w:highlight w:val="none"/>
        </w:rPr>
        <w:t>▲</w:t>
      </w:r>
      <w:r>
        <w:rPr>
          <w:rFonts w:hint="eastAsia" w:hAnsi="宋体"/>
          <w:color w:val="auto"/>
          <w:sz w:val="24"/>
          <w:szCs w:val="24"/>
          <w:highlight w:val="none"/>
        </w:rPr>
        <w:t>”条款要求。如</w:t>
      </w:r>
      <w:r>
        <w:rPr>
          <w:rFonts w:hint="eastAsia" w:hAnsi="宋体"/>
          <w:color w:val="auto"/>
          <w:sz w:val="24"/>
          <w:szCs w:val="24"/>
          <w:highlight w:val="none"/>
          <w:lang w:val="en-US" w:eastAsia="zh-CN"/>
        </w:rPr>
        <w:t>响应</w:t>
      </w:r>
      <w:r>
        <w:rPr>
          <w:rFonts w:hint="eastAsia" w:hAnsi="宋体"/>
          <w:color w:val="auto"/>
          <w:sz w:val="24"/>
          <w:szCs w:val="24"/>
          <w:highlight w:val="none"/>
        </w:rPr>
        <w:t>文件中方案描述与带“</w:t>
      </w:r>
      <w:r>
        <w:rPr>
          <w:rFonts w:hint="eastAsia"/>
          <w:color w:val="auto"/>
          <w:sz w:val="24"/>
          <w:szCs w:val="24"/>
          <w:highlight w:val="none"/>
        </w:rPr>
        <w:t>▲</w:t>
      </w:r>
      <w:r>
        <w:rPr>
          <w:rFonts w:hint="eastAsia" w:hAnsi="宋体"/>
          <w:color w:val="auto"/>
          <w:sz w:val="24"/>
          <w:szCs w:val="24"/>
          <w:highlight w:val="none"/>
        </w:rPr>
        <w:t>”条款要求冲突，以此承诺函为准。</w:t>
      </w:r>
    </w:p>
    <w:p w14:paraId="723D94E9">
      <w:pPr>
        <w:shd w:val="clear" w:color="auto" w:fill="auto"/>
        <w:spacing w:line="360" w:lineRule="auto"/>
        <w:rPr>
          <w:color w:val="auto"/>
          <w:szCs w:val="24"/>
          <w:highlight w:val="none"/>
        </w:rPr>
      </w:pPr>
    </w:p>
    <w:p w14:paraId="5306A6C8">
      <w:pPr>
        <w:pStyle w:val="10"/>
        <w:shd w:val="clear" w:color="auto" w:fill="auto"/>
        <w:snapToGrid w:val="0"/>
        <w:spacing w:line="360" w:lineRule="auto"/>
        <w:jc w:val="right"/>
        <w:rPr>
          <w:rFonts w:hint="eastAsia" w:hAnsi="宋体" w:cs="宋体"/>
          <w:snapToGrid w:val="0"/>
          <w:color w:val="auto"/>
          <w:szCs w:val="24"/>
          <w:highlight w:val="none"/>
          <w:lang w:val="en-US" w:eastAsia="zh-CN"/>
        </w:rPr>
      </w:pPr>
    </w:p>
    <w:p w14:paraId="4BB3189A">
      <w:pPr>
        <w:pStyle w:val="10"/>
        <w:shd w:val="clear" w:color="auto" w:fill="auto"/>
        <w:snapToGrid w:val="0"/>
        <w:spacing w:line="360" w:lineRule="auto"/>
        <w:jc w:val="right"/>
        <w:rPr>
          <w:rFonts w:hAnsi="宋体" w:cs="宋体"/>
          <w:snapToGrid w:val="0"/>
          <w:color w:val="auto"/>
          <w:szCs w:val="24"/>
          <w:highlight w:val="none"/>
        </w:rPr>
      </w:pPr>
      <w:r>
        <w:rPr>
          <w:rFonts w:hint="eastAsia" w:hAnsi="宋体" w:cs="宋体"/>
          <w:snapToGrid w:val="0"/>
          <w:color w:val="auto"/>
          <w:szCs w:val="24"/>
          <w:highlight w:val="none"/>
          <w:lang w:val="en-US" w:eastAsia="zh-CN"/>
        </w:rPr>
        <w:t>潜在承包人名称</w:t>
      </w:r>
      <w:r>
        <w:rPr>
          <w:rFonts w:hint="eastAsia" w:hAnsi="宋体" w:cs="宋体"/>
          <w:snapToGrid w:val="0"/>
          <w:color w:val="auto"/>
          <w:szCs w:val="24"/>
          <w:highlight w:val="none"/>
        </w:rPr>
        <w:t>（</w:t>
      </w:r>
      <w:r>
        <w:rPr>
          <w:rFonts w:hint="eastAsia" w:hAnsi="宋体" w:cs="宋体"/>
          <w:snapToGrid w:val="0"/>
          <w:color w:val="auto"/>
          <w:szCs w:val="24"/>
          <w:highlight w:val="none"/>
          <w:lang w:val="en-US" w:eastAsia="zh-CN"/>
        </w:rPr>
        <w:t>电子签名</w:t>
      </w:r>
      <w:r>
        <w:rPr>
          <w:rFonts w:hint="eastAsia" w:hAnsi="宋体" w:cs="宋体"/>
          <w:snapToGrid w:val="0"/>
          <w:color w:val="auto"/>
          <w:szCs w:val="24"/>
          <w:highlight w:val="none"/>
        </w:rPr>
        <w:t>）：</w:t>
      </w:r>
    </w:p>
    <w:p w14:paraId="3EC2E963">
      <w:pPr>
        <w:pStyle w:val="48"/>
        <w:shd w:val="clear" w:color="auto" w:fill="auto"/>
        <w:adjustRightInd w:val="0"/>
        <w:snapToGrid w:val="0"/>
        <w:spacing w:line="360" w:lineRule="auto"/>
        <w:jc w:val="right"/>
        <w:rPr>
          <w:rFonts w:hAnsi="宋体" w:cs="宋体"/>
          <w:color w:val="auto"/>
          <w:sz w:val="24"/>
          <w:szCs w:val="24"/>
          <w:highlight w:val="none"/>
        </w:rPr>
      </w:pPr>
      <w:r>
        <w:rPr>
          <w:rFonts w:hint="eastAsia" w:hAnsi="宋体" w:cs="宋体"/>
          <w:snapToGrid w:val="0"/>
          <w:color w:val="auto"/>
          <w:sz w:val="24"/>
          <w:szCs w:val="24"/>
          <w:highlight w:val="none"/>
        </w:rPr>
        <w:t>日期：</w:t>
      </w:r>
      <w:r>
        <w:rPr>
          <w:rFonts w:hint="eastAsia" w:hAnsi="宋体" w:cs="宋体"/>
          <w:color w:val="auto"/>
          <w:sz w:val="24"/>
          <w:szCs w:val="24"/>
          <w:highlight w:val="none"/>
        </w:rPr>
        <w:t xml:space="preserve">      年    月    日</w:t>
      </w:r>
    </w:p>
    <w:p w14:paraId="2FE0D159">
      <w:pPr>
        <w:kinsoku/>
        <w:topLinePunct/>
        <w:spacing w:line="360" w:lineRule="auto"/>
        <w:rPr>
          <w:rFonts w:ascii="Times New Roman" w:hAnsi="Times New Roman" w:eastAsia="仿宋_GB2312" w:cs="Times New Roman"/>
          <w:color w:val="auto"/>
          <w:szCs w:val="24"/>
        </w:rPr>
        <w:sectPr>
          <w:pgSz w:w="11906" w:h="16838"/>
          <w:pgMar w:top="1440" w:right="1080" w:bottom="1440" w:left="1080" w:header="850" w:footer="992" w:gutter="0"/>
          <w:cols w:space="0" w:num="1"/>
          <w:titlePg/>
          <w:docGrid w:linePitch="312" w:charSpace="0"/>
        </w:sectPr>
      </w:pPr>
    </w:p>
    <w:p w14:paraId="16BFDDC7">
      <w:pPr>
        <w:kinsoku/>
        <w:wordWrap w:val="0"/>
        <w:topLinePunct/>
        <w:autoSpaceDE/>
        <w:autoSpaceDN/>
        <w:adjustRightInd/>
        <w:snapToGrid/>
        <w:jc w:val="center"/>
        <w:rPr>
          <w:rFonts w:ascii="Times New Roman" w:hAnsi="Times New Roman" w:eastAsia="黑体" w:cs="Times New Roman"/>
          <w:color w:val="auto"/>
          <w:spacing w:val="-4"/>
          <w:sz w:val="52"/>
          <w:szCs w:val="52"/>
          <w14:textOutline w14:w="8712" w14:cap="flat" w14:cmpd="sng" w14:algn="ctr">
            <w14:solidFill>
              <w14:srgbClr w14:val="000000"/>
            </w14:solidFill>
            <w14:prstDash w14:val="solid"/>
            <w14:miter w14:val="0"/>
          </w14:textOutline>
        </w:rPr>
      </w:pPr>
    </w:p>
    <w:p w14:paraId="062F1F35">
      <w:pPr>
        <w:kinsoku/>
        <w:wordWrap w:val="0"/>
        <w:topLinePunct/>
        <w:autoSpaceDE/>
        <w:autoSpaceDN/>
        <w:adjustRightInd/>
        <w:snapToGrid/>
        <w:jc w:val="center"/>
        <w:rPr>
          <w:rFonts w:ascii="Times New Roman" w:hAnsi="Times New Roman" w:eastAsia="黑体" w:cs="Times New Roman"/>
          <w:color w:val="auto"/>
          <w:spacing w:val="-4"/>
          <w:sz w:val="52"/>
          <w:szCs w:val="52"/>
          <w14:textOutline w14:w="8712" w14:cap="flat" w14:cmpd="sng" w14:algn="ctr">
            <w14:solidFill>
              <w14:srgbClr w14:val="000000"/>
            </w14:solidFill>
            <w14:prstDash w14:val="solid"/>
            <w14:miter w14:val="0"/>
          </w14:textOutline>
        </w:rPr>
      </w:pPr>
    </w:p>
    <w:p w14:paraId="10FEA1F4">
      <w:pPr>
        <w:kinsoku/>
        <w:wordWrap w:val="0"/>
        <w:topLinePunct/>
        <w:autoSpaceDE/>
        <w:autoSpaceDN/>
        <w:adjustRightInd/>
        <w:snapToGrid/>
        <w:jc w:val="center"/>
        <w:rPr>
          <w:rFonts w:ascii="Times New Roman" w:hAnsi="Times New Roman" w:eastAsia="黑体" w:cs="Times New Roman"/>
          <w:color w:val="auto"/>
          <w:sz w:val="52"/>
          <w:szCs w:val="52"/>
        </w:rPr>
      </w:pPr>
      <w:r>
        <w:rPr>
          <w:rFonts w:ascii="Times New Roman" w:hAnsi="Times New Roman" w:eastAsia="黑体" w:cs="Times New Roman"/>
          <w:color w:val="auto"/>
          <w:spacing w:val="-4"/>
          <w:sz w:val="52"/>
          <w:szCs w:val="52"/>
          <w14:textOutline w14:w="8712" w14:cap="flat" w14:cmpd="sng" w14:algn="ctr">
            <w14:solidFill>
              <w14:srgbClr w14:val="000000"/>
            </w14:solidFill>
            <w14:prstDash w14:val="solid"/>
            <w14:miter w14:val="0"/>
          </w14:textOutline>
        </w:rPr>
        <w:t>小额项目工程施工响应文件</w:t>
      </w:r>
    </w:p>
    <w:p w14:paraId="261A445D">
      <w:pPr>
        <w:kinsoku/>
        <w:topLinePunct/>
        <w:jc w:val="center"/>
        <w:rPr>
          <w:rFonts w:ascii="Times New Roman" w:hAnsi="Times New Roman" w:cs="Times New Roman"/>
          <w:color w:val="auto"/>
        </w:rPr>
      </w:pPr>
    </w:p>
    <w:p w14:paraId="3826BE99">
      <w:pPr>
        <w:kinsoku/>
        <w:topLinePunct/>
        <w:jc w:val="center"/>
        <w:rPr>
          <w:rFonts w:ascii="Times New Roman" w:hAnsi="Times New Roman" w:cs="Times New Roman"/>
          <w:color w:val="auto"/>
        </w:rPr>
      </w:pPr>
    </w:p>
    <w:p w14:paraId="4B9807AF">
      <w:pPr>
        <w:pStyle w:val="3"/>
        <w:rPr>
          <w:rFonts w:ascii="Times New Roman" w:hAnsi="Times New Roman" w:cs="Times New Roman"/>
          <w:color w:val="auto"/>
        </w:rPr>
      </w:pPr>
      <w:r>
        <w:rPr>
          <w:rFonts w:ascii="Times New Roman" w:hAnsi="Times New Roman" w:cs="Times New Roman"/>
          <w:color w:val="auto"/>
        </w:rPr>
        <w:t>(封面)</w:t>
      </w:r>
    </w:p>
    <w:p w14:paraId="756EB6BA">
      <w:pPr>
        <w:kinsoku/>
        <w:topLinePunct/>
        <w:rPr>
          <w:rFonts w:ascii="Times New Roman" w:hAnsi="Times New Roman" w:cs="Times New Roman"/>
          <w:color w:val="auto"/>
        </w:rPr>
      </w:pPr>
    </w:p>
    <w:p w14:paraId="1A38347A">
      <w:pPr>
        <w:kinsoku/>
        <w:wordWrap w:val="0"/>
        <w:topLinePunct/>
        <w:autoSpaceDE/>
        <w:autoSpaceDN/>
        <w:adjustRightInd/>
        <w:snapToGrid/>
        <w:rPr>
          <w:rFonts w:ascii="Times New Roman" w:hAnsi="Times New Roman" w:cs="Times New Roman"/>
          <w:color w:val="auto"/>
          <w:sz w:val="21"/>
        </w:rPr>
      </w:pPr>
    </w:p>
    <w:p w14:paraId="705F3708">
      <w:pPr>
        <w:kinsoku/>
        <w:wordWrap w:val="0"/>
        <w:topLinePunct/>
        <w:autoSpaceDE/>
        <w:autoSpaceDN/>
        <w:adjustRightInd/>
        <w:snapToGrid/>
        <w:rPr>
          <w:rFonts w:ascii="Times New Roman" w:hAnsi="Times New Roman" w:cs="Times New Roman"/>
          <w:color w:val="auto"/>
          <w:sz w:val="21"/>
        </w:rPr>
      </w:pPr>
    </w:p>
    <w:p w14:paraId="71C421E9">
      <w:pPr>
        <w:kinsoku/>
        <w:wordWrap w:val="0"/>
        <w:topLinePunct/>
        <w:autoSpaceDE/>
        <w:autoSpaceDN/>
        <w:adjustRightInd/>
        <w:snapToGrid/>
        <w:spacing w:line="580" w:lineRule="exact"/>
        <w:rPr>
          <w:rFonts w:ascii="Times New Roman" w:hAnsi="Times New Roman" w:cs="Times New Roman"/>
          <w:color w:val="auto"/>
          <w:sz w:val="21"/>
        </w:rPr>
      </w:pPr>
    </w:p>
    <w:p w14:paraId="58A58951">
      <w:pPr>
        <w:kinsoku/>
        <w:wordWrap w:val="0"/>
        <w:topLinePunct/>
        <w:autoSpaceDE/>
        <w:autoSpaceDN/>
        <w:adjustRightInd/>
        <w:snapToGrid/>
        <w:spacing w:before="240" w:beforeLines="100" w:after="240" w:afterLines="100" w:line="580" w:lineRule="exact"/>
        <w:ind w:firstLine="1160" w:firstLineChars="400"/>
        <w:rPr>
          <w:rFonts w:ascii="Times New Roman" w:hAnsi="Times New Roman" w:eastAsia="仿宋" w:cs="Times New Roman"/>
          <w:color w:val="auto"/>
        </w:rPr>
      </w:pPr>
      <w:r>
        <w:rPr>
          <w:rFonts w:ascii="Times New Roman" w:hAnsi="Times New Roman" w:eastAsia="仿宋" w:cs="Times New Roman"/>
          <w:color w:val="auto"/>
          <w:spacing w:val="-5"/>
          <w:sz w:val="30"/>
          <w:szCs w:val="30"/>
        </w:rPr>
        <w:t>项目名称：</w:t>
      </w:r>
      <w:r>
        <w:rPr>
          <w:rFonts w:ascii="Times New Roman" w:hAnsi="Times New Roman" w:eastAsia="仿宋" w:cs="Times New Roman"/>
          <w:color w:val="auto"/>
          <w:sz w:val="30"/>
          <w:szCs w:val="30"/>
          <w:u w:val="single"/>
        </w:rPr>
        <w:t xml:space="preserve">                             </w:t>
      </w:r>
      <w:r>
        <w:rPr>
          <w:rFonts w:hint="eastAsia" w:ascii="Times New Roman" w:hAnsi="Times New Roman" w:eastAsia="仿宋" w:cs="Times New Roman"/>
          <w:color w:val="auto"/>
          <w:sz w:val="30"/>
          <w:szCs w:val="30"/>
          <w:u w:val="single"/>
        </w:rPr>
        <w:t xml:space="preserve">                                        </w:t>
      </w:r>
      <w:r>
        <w:rPr>
          <w:rFonts w:ascii="Times New Roman" w:hAnsi="Times New Roman" w:eastAsia="仿宋" w:cs="Times New Roman"/>
          <w:color w:val="auto"/>
          <w:sz w:val="30"/>
          <w:szCs w:val="30"/>
          <w:u w:val="single"/>
        </w:rPr>
        <w:t xml:space="preserve">           </w:t>
      </w:r>
    </w:p>
    <w:p w14:paraId="53FAD290">
      <w:pPr>
        <w:kinsoku/>
        <w:wordWrap w:val="0"/>
        <w:topLinePunct/>
        <w:autoSpaceDE/>
        <w:autoSpaceDN/>
        <w:adjustRightInd/>
        <w:snapToGrid/>
        <w:spacing w:before="240" w:beforeLines="100" w:after="240" w:afterLines="100" w:line="580" w:lineRule="exact"/>
        <w:ind w:firstLine="1184" w:firstLineChars="400"/>
        <w:rPr>
          <w:rFonts w:ascii="Times New Roman" w:hAnsi="Times New Roman" w:eastAsia="仿宋" w:cs="Times New Roman"/>
          <w:color w:val="auto"/>
          <w:spacing w:val="-2"/>
          <w:sz w:val="30"/>
          <w:szCs w:val="30"/>
          <w:u w:val="single"/>
        </w:rPr>
      </w:pPr>
      <w:r>
        <w:rPr>
          <w:rFonts w:ascii="Times New Roman" w:hAnsi="Times New Roman" w:eastAsia="仿宋" w:cs="Times New Roman"/>
          <w:color w:val="auto"/>
          <w:spacing w:val="-2"/>
          <w:sz w:val="30"/>
          <w:szCs w:val="30"/>
        </w:rPr>
        <w:t>文件内容：</w:t>
      </w:r>
      <w:r>
        <w:rPr>
          <w:rFonts w:ascii="Times New Roman" w:hAnsi="Times New Roman" w:eastAsia="仿宋" w:cs="Times New Roman"/>
          <w:color w:val="auto"/>
          <w:spacing w:val="-2"/>
          <w:sz w:val="30"/>
          <w:szCs w:val="30"/>
          <w:u w:val="single"/>
        </w:rPr>
        <w:t>　　　　商务标文件　　　　　　　　　　　</w:t>
      </w:r>
    </w:p>
    <w:p w14:paraId="25819B98">
      <w:pPr>
        <w:kinsoku/>
        <w:wordWrap w:val="0"/>
        <w:topLinePunct/>
        <w:autoSpaceDE/>
        <w:autoSpaceDN/>
        <w:adjustRightInd/>
        <w:snapToGrid/>
        <w:spacing w:before="240" w:beforeLines="100" w:after="240" w:afterLines="100" w:line="580" w:lineRule="exact"/>
        <w:ind w:firstLine="1184" w:firstLineChars="400"/>
        <w:rPr>
          <w:rFonts w:ascii="Times New Roman" w:hAnsi="Times New Roman" w:cs="Times New Roman"/>
          <w:color w:val="auto"/>
          <w:sz w:val="21"/>
        </w:rPr>
      </w:pPr>
      <w:r>
        <w:rPr>
          <w:rFonts w:ascii="Times New Roman" w:hAnsi="Times New Roman" w:eastAsia="仿宋" w:cs="Times New Roman"/>
          <w:color w:val="auto"/>
          <w:spacing w:val="-2"/>
          <w:sz w:val="30"/>
          <w:szCs w:val="30"/>
        </w:rPr>
        <w:t>潜在承包人：</w:t>
      </w:r>
      <w:r>
        <w:rPr>
          <w:rFonts w:ascii="Times New Roman" w:hAnsi="Times New Roman" w:eastAsia="仿宋" w:cs="Times New Roman"/>
          <w:color w:val="auto"/>
          <w:spacing w:val="-2"/>
          <w:sz w:val="30"/>
          <w:szCs w:val="30"/>
          <w:u w:val="single"/>
        </w:rPr>
        <w:t xml:space="preserve">              </w:t>
      </w:r>
      <w:r>
        <w:rPr>
          <w:rFonts w:ascii="Times New Roman" w:hAnsi="Times New Roman" w:eastAsia="仿宋" w:cs="Times New Roman"/>
          <w:color w:val="auto"/>
          <w:spacing w:val="-1"/>
          <w:sz w:val="30"/>
          <w:szCs w:val="30"/>
          <w:u w:val="single"/>
        </w:rPr>
        <w:t xml:space="preserve">      </w:t>
      </w:r>
      <w:r>
        <w:rPr>
          <w:rFonts w:hint="eastAsia" w:ascii="Times New Roman" w:hAnsi="Times New Roman" w:eastAsia="仿宋" w:cs="Times New Roman"/>
          <w:color w:val="auto"/>
          <w:spacing w:val="-1"/>
          <w:sz w:val="30"/>
          <w:szCs w:val="30"/>
          <w:u w:val="single"/>
        </w:rPr>
        <w:t xml:space="preserve">                            </w:t>
      </w:r>
      <w:r>
        <w:rPr>
          <w:rFonts w:ascii="Times New Roman" w:hAnsi="Times New Roman" w:eastAsia="仿宋" w:cs="Times New Roman"/>
          <w:color w:val="auto"/>
          <w:spacing w:val="-1"/>
          <w:sz w:val="30"/>
          <w:szCs w:val="30"/>
          <w:u w:val="single"/>
        </w:rPr>
        <w:t xml:space="preserve">       (电子签名)</w:t>
      </w:r>
      <w:r>
        <w:rPr>
          <w:rFonts w:hint="eastAsia" w:ascii="Times New Roman" w:hAnsi="Times New Roman" w:eastAsia="仿宋" w:cs="Times New Roman"/>
          <w:color w:val="auto"/>
          <w:spacing w:val="-1"/>
          <w:sz w:val="30"/>
          <w:szCs w:val="30"/>
          <w:u w:val="single"/>
        </w:rPr>
        <w:t xml:space="preserve">  </w:t>
      </w:r>
      <w:r>
        <w:rPr>
          <w:rFonts w:ascii="Times New Roman" w:hAnsi="Times New Roman" w:eastAsia="仿宋" w:cs="Times New Roman"/>
          <w:color w:val="auto"/>
          <w:sz w:val="30"/>
          <w:szCs w:val="30"/>
          <w:u w:val="single"/>
        </w:rPr>
        <w:t xml:space="preserve"> </w:t>
      </w:r>
    </w:p>
    <w:p w14:paraId="3D1EAF7C">
      <w:pPr>
        <w:kinsoku/>
        <w:wordWrap w:val="0"/>
        <w:topLinePunct/>
        <w:autoSpaceDE/>
        <w:autoSpaceDN/>
        <w:adjustRightInd/>
        <w:snapToGrid/>
        <w:spacing w:before="240" w:beforeLines="100" w:after="240" w:afterLines="100" w:line="580" w:lineRule="exact"/>
        <w:ind w:firstLine="1168" w:firstLineChars="400"/>
        <w:rPr>
          <w:rFonts w:ascii="Times New Roman" w:hAnsi="Times New Roman" w:eastAsia="仿宋" w:cs="Times New Roman"/>
          <w:color w:val="auto"/>
          <w:sz w:val="30"/>
          <w:szCs w:val="30"/>
        </w:rPr>
      </w:pPr>
      <w:r>
        <w:rPr>
          <w:rFonts w:ascii="Times New Roman" w:hAnsi="Times New Roman" w:eastAsia="仿宋" w:cs="Times New Roman"/>
          <w:color w:val="auto"/>
          <w:spacing w:val="-4"/>
          <w:sz w:val="30"/>
          <w:szCs w:val="30"/>
        </w:rPr>
        <w:t>法定代</w:t>
      </w:r>
      <w:r>
        <w:rPr>
          <w:rFonts w:ascii="Times New Roman" w:hAnsi="Times New Roman" w:eastAsia="仿宋" w:cs="Times New Roman"/>
          <w:color w:val="auto"/>
          <w:spacing w:val="-3"/>
          <w:sz w:val="30"/>
          <w:szCs w:val="30"/>
        </w:rPr>
        <w:t>表</w:t>
      </w:r>
      <w:r>
        <w:rPr>
          <w:rFonts w:ascii="Times New Roman" w:hAnsi="Times New Roman" w:eastAsia="仿宋" w:cs="Times New Roman"/>
          <w:color w:val="auto"/>
          <w:spacing w:val="-2"/>
          <w:sz w:val="30"/>
          <w:szCs w:val="30"/>
        </w:rPr>
        <w:t>人或其委托代理人：</w:t>
      </w:r>
      <w:r>
        <w:rPr>
          <w:rFonts w:ascii="Times New Roman" w:hAnsi="Times New Roman" w:eastAsia="仿宋" w:cs="Times New Roman"/>
          <w:color w:val="auto"/>
          <w:spacing w:val="-2"/>
          <w:sz w:val="30"/>
          <w:szCs w:val="30"/>
          <w:u w:val="single"/>
        </w:rPr>
        <w:t xml:space="preserve">           </w:t>
      </w:r>
      <w:r>
        <w:rPr>
          <w:rFonts w:hint="eastAsia" w:ascii="Times New Roman" w:hAnsi="Times New Roman" w:eastAsia="仿宋" w:cs="Times New Roman"/>
          <w:color w:val="auto"/>
          <w:spacing w:val="-2"/>
          <w:sz w:val="30"/>
          <w:szCs w:val="30"/>
          <w:u w:val="single"/>
        </w:rPr>
        <w:t xml:space="preserve">            </w:t>
      </w:r>
      <w:r>
        <w:rPr>
          <w:rFonts w:ascii="Times New Roman" w:hAnsi="Times New Roman" w:eastAsia="仿宋" w:cs="Times New Roman"/>
          <w:color w:val="auto"/>
          <w:spacing w:val="-2"/>
          <w:sz w:val="30"/>
          <w:szCs w:val="30"/>
          <w:u w:val="single"/>
        </w:rPr>
        <w:t>　(</w:t>
      </w:r>
      <w:r>
        <w:rPr>
          <w:rFonts w:ascii="Times New Roman" w:hAnsi="Times New Roman" w:eastAsia="仿宋" w:cs="Times New Roman"/>
          <w:color w:val="auto"/>
          <w:spacing w:val="-1"/>
          <w:sz w:val="30"/>
          <w:szCs w:val="30"/>
          <w:u w:val="single"/>
        </w:rPr>
        <w:t>电子签名</w:t>
      </w:r>
      <w:r>
        <w:rPr>
          <w:rFonts w:ascii="Times New Roman" w:hAnsi="Times New Roman" w:eastAsia="仿宋" w:cs="Times New Roman"/>
          <w:color w:val="auto"/>
          <w:spacing w:val="-2"/>
          <w:sz w:val="30"/>
          <w:szCs w:val="30"/>
          <w:u w:val="single"/>
        </w:rPr>
        <w:t>)</w:t>
      </w:r>
      <w:r>
        <w:rPr>
          <w:rFonts w:ascii="Times New Roman" w:hAnsi="Times New Roman" w:eastAsia="仿宋" w:cs="Times New Roman"/>
          <w:color w:val="auto"/>
          <w:sz w:val="30"/>
          <w:szCs w:val="30"/>
          <w:u w:val="single"/>
        </w:rPr>
        <w:t xml:space="preserve"> </w:t>
      </w:r>
      <w:r>
        <w:rPr>
          <w:rFonts w:hint="eastAsia" w:ascii="Times New Roman" w:hAnsi="Times New Roman" w:eastAsia="仿宋" w:cs="Times New Roman"/>
          <w:color w:val="auto"/>
          <w:sz w:val="30"/>
          <w:szCs w:val="30"/>
          <w:u w:val="single"/>
        </w:rPr>
        <w:t xml:space="preserve">  </w:t>
      </w:r>
    </w:p>
    <w:p w14:paraId="4CF8A022">
      <w:pPr>
        <w:kinsoku/>
        <w:wordWrap w:val="0"/>
        <w:topLinePunct/>
        <w:autoSpaceDE/>
        <w:autoSpaceDN/>
        <w:adjustRightInd/>
        <w:snapToGrid/>
        <w:ind w:firstLine="420" w:firstLineChars="200"/>
        <w:rPr>
          <w:rFonts w:ascii="Times New Roman" w:hAnsi="Times New Roman" w:cs="Times New Roman"/>
          <w:color w:val="auto"/>
          <w:sz w:val="21"/>
        </w:rPr>
      </w:pPr>
    </w:p>
    <w:p w14:paraId="7227E7EB">
      <w:pPr>
        <w:kinsoku/>
        <w:wordWrap w:val="0"/>
        <w:topLinePunct/>
        <w:autoSpaceDE/>
        <w:autoSpaceDN/>
        <w:adjustRightInd/>
        <w:snapToGrid/>
        <w:ind w:firstLine="420" w:firstLineChars="200"/>
        <w:rPr>
          <w:rFonts w:ascii="Times New Roman" w:hAnsi="Times New Roman" w:cs="Times New Roman"/>
          <w:color w:val="auto"/>
          <w:sz w:val="21"/>
        </w:rPr>
      </w:pPr>
    </w:p>
    <w:p w14:paraId="192450C2">
      <w:pPr>
        <w:kinsoku/>
        <w:wordWrap w:val="0"/>
        <w:topLinePunct/>
        <w:autoSpaceDE/>
        <w:autoSpaceDN/>
        <w:adjustRightInd/>
        <w:snapToGrid/>
        <w:ind w:firstLine="420" w:firstLineChars="200"/>
        <w:rPr>
          <w:rFonts w:ascii="Times New Roman" w:hAnsi="Times New Roman" w:cs="Times New Roman"/>
          <w:color w:val="auto"/>
          <w:sz w:val="21"/>
        </w:rPr>
      </w:pPr>
    </w:p>
    <w:p w14:paraId="0B07B83B">
      <w:pPr>
        <w:kinsoku/>
        <w:wordWrap w:val="0"/>
        <w:topLinePunct/>
        <w:autoSpaceDE/>
        <w:autoSpaceDN/>
        <w:adjustRightInd/>
        <w:snapToGrid/>
        <w:ind w:firstLine="420" w:firstLineChars="200"/>
        <w:rPr>
          <w:rFonts w:ascii="Times New Roman" w:hAnsi="Times New Roman" w:cs="Times New Roman"/>
          <w:color w:val="auto"/>
          <w:sz w:val="21"/>
        </w:rPr>
      </w:pPr>
    </w:p>
    <w:p w14:paraId="6B0DE146">
      <w:pPr>
        <w:kinsoku/>
        <w:wordWrap w:val="0"/>
        <w:topLinePunct/>
        <w:autoSpaceDE/>
        <w:autoSpaceDN/>
        <w:adjustRightInd/>
        <w:snapToGrid/>
        <w:ind w:firstLine="420" w:firstLineChars="200"/>
        <w:rPr>
          <w:rFonts w:ascii="Times New Roman" w:hAnsi="Times New Roman" w:cs="Times New Roman"/>
          <w:color w:val="auto"/>
          <w:sz w:val="21"/>
        </w:rPr>
      </w:pPr>
    </w:p>
    <w:p w14:paraId="79B81C4A">
      <w:pPr>
        <w:kinsoku/>
        <w:wordWrap w:val="0"/>
        <w:topLinePunct/>
        <w:autoSpaceDE/>
        <w:autoSpaceDN/>
        <w:adjustRightInd/>
        <w:snapToGrid/>
        <w:ind w:firstLine="420" w:firstLineChars="200"/>
        <w:rPr>
          <w:rFonts w:ascii="Times New Roman" w:hAnsi="Times New Roman" w:cs="Times New Roman"/>
          <w:color w:val="auto"/>
          <w:sz w:val="21"/>
        </w:rPr>
      </w:pPr>
    </w:p>
    <w:p w14:paraId="60626EA1">
      <w:pPr>
        <w:kinsoku/>
        <w:wordWrap w:val="0"/>
        <w:topLinePunct/>
        <w:autoSpaceDE/>
        <w:autoSpaceDN/>
        <w:adjustRightInd/>
        <w:snapToGrid/>
        <w:ind w:firstLine="420" w:firstLineChars="200"/>
        <w:rPr>
          <w:rFonts w:ascii="Times New Roman" w:hAnsi="Times New Roman" w:cs="Times New Roman"/>
          <w:color w:val="auto"/>
          <w:sz w:val="21"/>
        </w:rPr>
      </w:pPr>
    </w:p>
    <w:p w14:paraId="53AAD46E">
      <w:pPr>
        <w:kinsoku/>
        <w:wordWrap w:val="0"/>
        <w:topLinePunct/>
        <w:autoSpaceDE/>
        <w:autoSpaceDN/>
        <w:adjustRightInd/>
        <w:snapToGrid/>
        <w:ind w:firstLine="572" w:firstLineChars="200"/>
        <w:jc w:val="center"/>
        <w:rPr>
          <w:rFonts w:ascii="Times New Roman" w:hAnsi="Times New Roman" w:eastAsia="仿宋" w:cs="Times New Roman"/>
          <w:color w:val="auto"/>
          <w:sz w:val="30"/>
          <w:szCs w:val="30"/>
        </w:rPr>
      </w:pPr>
      <w:r>
        <w:rPr>
          <w:rFonts w:ascii="Times New Roman" w:hAnsi="Times New Roman" w:eastAsia="仿宋" w:cs="Times New Roman"/>
          <w:color w:val="auto"/>
          <w:spacing w:val="-7"/>
          <w:sz w:val="30"/>
          <w:szCs w:val="30"/>
        </w:rPr>
        <w:t xml:space="preserve">日期：      年     月     </w:t>
      </w:r>
      <w:r>
        <w:rPr>
          <w:rFonts w:ascii="Times New Roman" w:hAnsi="Times New Roman" w:eastAsia="仿宋" w:cs="Times New Roman"/>
          <w:color w:val="auto"/>
          <w:spacing w:val="-5"/>
          <w:sz w:val="30"/>
          <w:szCs w:val="30"/>
        </w:rPr>
        <w:t>日</w:t>
      </w:r>
    </w:p>
    <w:p w14:paraId="2B4B06A4">
      <w:pPr>
        <w:pStyle w:val="3"/>
        <w:kinsoku/>
        <w:topLinePunct/>
        <w:rPr>
          <w:rFonts w:ascii="Times New Roman" w:hAnsi="Times New Roman" w:cs="Times New Roman"/>
          <w:b w:val="0"/>
          <w:bCs w:val="0"/>
          <w:color w:val="auto"/>
          <w:spacing w:val="-1"/>
          <w:sz w:val="44"/>
          <w:szCs w:val="44"/>
          <w14:textOutline w14:w="5448" w14:cap="flat" w14:cmpd="sng" w14:algn="ctr">
            <w14:solidFill>
              <w14:srgbClr w14:val="000000"/>
            </w14:solidFill>
            <w14:prstDash w14:val="solid"/>
            <w14:miter w14:val="0"/>
          </w14:textOutline>
        </w:rPr>
        <w:sectPr>
          <w:footerReference r:id="rId33" w:type="first"/>
          <w:footerReference r:id="rId32" w:type="default"/>
          <w:pgSz w:w="11906" w:h="16838"/>
          <w:pgMar w:top="1440" w:right="1080" w:bottom="1440" w:left="1080" w:header="850" w:footer="850" w:gutter="0"/>
          <w:cols w:space="0" w:num="1"/>
          <w:titlePg/>
        </w:sectPr>
      </w:pPr>
    </w:p>
    <w:p w14:paraId="7CEE322A">
      <w:pPr>
        <w:pStyle w:val="3"/>
        <w:kinsoku/>
        <w:topLinePunct/>
        <w:rPr>
          <w:rFonts w:ascii="Times New Roman" w:hAnsi="Times New Roman"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cs="Times New Roman"/>
          <w:b w:val="0"/>
          <w:bCs w:val="0"/>
          <w:color w:val="auto"/>
          <w:spacing w:val="-1"/>
          <w:sz w:val="44"/>
          <w:szCs w:val="44"/>
          <w14:textOutline w14:w="5448" w14:cap="flat" w14:cmpd="sng" w14:algn="ctr">
            <w14:solidFill>
              <w14:srgbClr w14:val="000000"/>
            </w14:solidFill>
            <w14:prstDash w14:val="solid"/>
            <w14:miter w14:val="0"/>
          </w14:textOutline>
        </w:rPr>
        <w:t>目   录</w:t>
      </w:r>
    </w:p>
    <w:p w14:paraId="79AA5A96">
      <w:pPr>
        <w:widowControl w:val="0"/>
        <w:ind w:firstLine="422" w:firstLineChars="150"/>
        <w:rPr>
          <w:rFonts w:ascii="Times New Roman" w:hAnsi="Times New Roman" w:eastAsia="仿宋_GB2312" w:cs="Times New Roman"/>
          <w:b/>
          <w:bCs/>
          <w:color w:val="auto"/>
          <w:sz w:val="28"/>
          <w:szCs w:val="28"/>
        </w:rPr>
      </w:pPr>
    </w:p>
    <w:p w14:paraId="0B1FBD00">
      <w:pPr>
        <w:widowControl w:val="0"/>
        <w:spacing w:line="360" w:lineRule="auto"/>
        <w:ind w:firstLine="360" w:firstLineChars="150"/>
        <w:jc w:val="distribute"/>
        <w:rPr>
          <w:rFonts w:ascii="Times New Roman" w:hAnsi="Times New Roman" w:eastAsia="宋体" w:cs="Times New Roman"/>
          <w:color w:val="auto"/>
        </w:rPr>
      </w:pPr>
      <w:r>
        <w:rPr>
          <w:rFonts w:hint="eastAsia" w:ascii="Times New Roman" w:hAnsi="Times New Roman" w:eastAsia="宋体" w:cs="Times New Roman"/>
          <w:color w:val="auto"/>
        </w:rPr>
        <w:t>1.</w:t>
      </w:r>
      <w:r>
        <w:rPr>
          <w:rFonts w:ascii="Times New Roman" w:hAnsi="Times New Roman" w:eastAsia="宋体" w:cs="Times New Roman"/>
          <w:color w:val="auto"/>
        </w:rPr>
        <w:t>响应函及附录…………………………………………………………………(页码)</w:t>
      </w:r>
    </w:p>
    <w:p w14:paraId="2BBABE5B">
      <w:pPr>
        <w:widowControl w:val="0"/>
        <w:spacing w:line="360" w:lineRule="auto"/>
        <w:ind w:firstLine="360" w:firstLineChars="150"/>
        <w:jc w:val="distribute"/>
        <w:rPr>
          <w:rFonts w:ascii="Times New Roman" w:hAnsi="Times New Roman" w:eastAsia="宋体" w:cs="Times New Roman"/>
          <w:color w:val="auto"/>
        </w:rPr>
      </w:pPr>
      <w:r>
        <w:rPr>
          <w:rFonts w:hint="eastAsia" w:ascii="Times New Roman" w:hAnsi="Times New Roman" w:eastAsia="宋体" w:cs="Times New Roman"/>
          <w:color w:val="auto"/>
        </w:rPr>
        <w:t>2.联合体协议书（如有，根据发包人格式要求）</w:t>
      </w:r>
      <w:r>
        <w:rPr>
          <w:rFonts w:ascii="Times New Roman" w:hAnsi="Times New Roman" w:eastAsia="宋体" w:cs="Times New Roman"/>
          <w:color w:val="auto"/>
        </w:rPr>
        <w:t>………………………………………(页码)</w:t>
      </w:r>
    </w:p>
    <w:p w14:paraId="074B6791">
      <w:pPr>
        <w:widowControl w:val="0"/>
        <w:spacing w:line="360" w:lineRule="auto"/>
        <w:ind w:firstLine="360" w:firstLineChars="150"/>
        <w:jc w:val="distribute"/>
        <w:rPr>
          <w:rFonts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.工程量清单报价说明……………………………………………………………………(页码)</w:t>
      </w:r>
    </w:p>
    <w:p w14:paraId="12B4F2F1">
      <w:pPr>
        <w:widowControl w:val="0"/>
        <w:spacing w:line="360" w:lineRule="auto"/>
        <w:ind w:firstLine="360" w:firstLineChars="150"/>
        <w:jc w:val="distribute"/>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.已标价工程量清单…………………………………………………………………(页码)</w:t>
      </w:r>
    </w:p>
    <w:p w14:paraId="38899822">
      <w:pPr>
        <w:widowControl w:val="0"/>
        <w:spacing w:line="360" w:lineRule="auto"/>
        <w:ind w:firstLine="360" w:firstLineChars="150"/>
        <w:jc w:val="distribute"/>
        <w:rPr>
          <w:rFonts w:ascii="Times New Roman" w:hAnsi="Times New Roman" w:eastAsia="宋体" w:cs="Times New Roman"/>
          <w:color w:val="auto"/>
        </w:rPr>
      </w:pPr>
      <w:r>
        <w:rPr>
          <w:rFonts w:hint="eastAsia" w:ascii="Times New Roman" w:hAnsi="Times New Roman" w:eastAsia="宋体" w:cs="Times New Roman"/>
          <w:color w:val="auto"/>
        </w:rPr>
        <w:t>5</w:t>
      </w:r>
      <w:r>
        <w:rPr>
          <w:rFonts w:ascii="Times New Roman" w:hAnsi="Times New Roman" w:eastAsia="宋体" w:cs="Times New Roman"/>
          <w:color w:val="auto"/>
        </w:rPr>
        <w:t>.拟分包项目名称和分包商情况(如有)…………………………………………(页码)</w:t>
      </w:r>
    </w:p>
    <w:p w14:paraId="2C26FB61">
      <w:pPr>
        <w:kinsoku/>
        <w:rPr>
          <w:rFonts w:ascii="Times New Roman" w:hAnsi="Times New Roman" w:eastAsia="宋体" w:cs="Times New Roman"/>
          <w:b/>
          <w:bCs/>
          <w:color w:val="auto"/>
        </w:rPr>
      </w:pPr>
    </w:p>
    <w:p w14:paraId="05605D07">
      <w:pPr>
        <w:kinsoku/>
        <w:rPr>
          <w:rFonts w:ascii="Times New Roman" w:hAnsi="Times New Roman" w:eastAsia="宋体" w:cs="Times New Roman"/>
          <w:b/>
          <w:bCs/>
          <w:color w:val="auto"/>
        </w:rPr>
      </w:pPr>
    </w:p>
    <w:p w14:paraId="07BBC472">
      <w:pPr>
        <w:kinsoku/>
        <w:spacing w:line="400" w:lineRule="exact"/>
        <w:rPr>
          <w:rFonts w:ascii="Times New Roman" w:hAnsi="Times New Roman" w:eastAsia="宋体" w:cs="Times New Roman"/>
          <w:b/>
          <w:color w:val="auto"/>
          <w:sz w:val="32"/>
          <w:szCs w:val="32"/>
        </w:rPr>
      </w:pPr>
      <w:r>
        <w:rPr>
          <w:rFonts w:ascii="Times New Roman" w:hAnsi="Times New Roman" w:eastAsia="宋体" w:cs="Times New Roman"/>
          <w:b/>
          <w:bCs/>
          <w:color w:val="auto"/>
        </w:rPr>
        <w:t>注：以上目录是编制潜在承包人响应文件的基本格式要求，各潜在承包人可根据自身情况进一步细化。各潜在承包人请务必在投标工具中对应评审标准关联相应文件。</w:t>
      </w:r>
    </w:p>
    <w:p w14:paraId="3588B30F">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sectPr>
          <w:pgSz w:w="11906" w:h="16838"/>
          <w:pgMar w:top="1440" w:right="1080" w:bottom="1440" w:left="1080" w:header="850" w:footer="850" w:gutter="0"/>
          <w:cols w:space="0" w:num="1"/>
          <w:titlePg/>
        </w:sectPr>
      </w:pPr>
    </w:p>
    <w:p w14:paraId="6A25E8A2">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响应函</w:t>
      </w:r>
    </w:p>
    <w:p w14:paraId="3BD3BF2F">
      <w:pPr>
        <w:kinsoku/>
        <w:wordWrap w:val="0"/>
        <w:topLinePunct/>
        <w:autoSpaceDE/>
        <w:autoSpaceDN/>
        <w:adjustRightInd/>
        <w:snapToGrid/>
        <w:ind w:firstLine="420" w:firstLineChars="200"/>
        <w:rPr>
          <w:rFonts w:ascii="Times New Roman" w:hAnsi="Times New Roman" w:cs="Times New Roman"/>
          <w:color w:val="auto"/>
          <w:sz w:val="21"/>
        </w:rPr>
      </w:pPr>
    </w:p>
    <w:p w14:paraId="09B90D04">
      <w:pPr>
        <w:kinsoku/>
        <w:wordWrap w:val="0"/>
        <w:topLinePunct/>
        <w:autoSpaceDE/>
        <w:autoSpaceDN/>
        <w:adjustRightInd/>
        <w:snapToGrid/>
        <w:spacing w:before="3" w:line="308" w:lineRule="auto"/>
        <w:rPr>
          <w:rFonts w:ascii="Times New Roman" w:hAnsi="Times New Roman" w:eastAsia="宋体" w:cs="Times New Roman"/>
          <w:color w:val="auto"/>
          <w:szCs w:val="24"/>
        </w:rPr>
      </w:pPr>
      <w:r>
        <w:rPr>
          <w:rFonts w:ascii="Times New Roman" w:hAnsi="Times New Roman" w:eastAsia="宋体" w:cs="Times New Roman"/>
          <w:color w:val="auto"/>
          <w:szCs w:val="24"/>
        </w:rPr>
        <w:t>致：</w:t>
      </w:r>
      <w:r>
        <w:rPr>
          <w:rFonts w:ascii="Times New Roman" w:hAnsi="Times New Roman" w:eastAsia="宋体" w:cs="Times New Roman"/>
          <w:color w:val="auto"/>
          <w:szCs w:val="24"/>
          <w:u w:val="single"/>
        </w:rPr>
        <w:t xml:space="preserve">  (发包人名称)        </w:t>
      </w:r>
    </w:p>
    <w:p w14:paraId="7CC9302A">
      <w:pPr>
        <w:kinsoku/>
        <w:wordWrap w:val="0"/>
        <w:topLinePunct/>
        <w:autoSpaceDE/>
        <w:autoSpaceDN/>
        <w:adjustRightInd/>
        <w:snapToGrid/>
        <w:spacing w:before="3" w:line="308" w:lineRule="auto"/>
        <w:ind w:firstLine="480" w:firstLineChars="200"/>
        <w:rPr>
          <w:rFonts w:ascii="Times New Roman" w:hAnsi="Times New Roman" w:eastAsia="宋体" w:cs="Times New Roman"/>
          <w:color w:val="auto"/>
          <w:szCs w:val="24"/>
        </w:rPr>
      </w:pPr>
    </w:p>
    <w:p w14:paraId="38586407">
      <w:pPr>
        <w:kinsoku/>
        <w:wordWrap w:val="0"/>
        <w:topLinePunct/>
        <w:autoSpaceDE/>
        <w:autoSpaceDN/>
        <w:adjustRightInd/>
        <w:snapToGrid/>
        <w:spacing w:before="3"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1、根据已收到贵方的</w:t>
      </w:r>
      <w:r>
        <w:rPr>
          <w:rFonts w:ascii="Times New Roman" w:hAnsi="Times New Roman" w:eastAsia="宋体" w:cs="Times New Roman"/>
          <w:color w:val="auto"/>
          <w:szCs w:val="24"/>
          <w:u w:val="single"/>
        </w:rPr>
        <w:t xml:space="preserve">  (项目编号)  </w:t>
      </w:r>
      <w:r>
        <w:rPr>
          <w:rFonts w:ascii="Times New Roman" w:hAnsi="Times New Roman" w:eastAsia="宋体" w:cs="Times New Roman"/>
          <w:color w:val="auto"/>
          <w:szCs w:val="24"/>
        </w:rPr>
        <w:t xml:space="preserve">的 </w:t>
      </w:r>
      <w:r>
        <w:rPr>
          <w:rFonts w:ascii="Times New Roman" w:hAnsi="Times New Roman" w:eastAsia="宋体" w:cs="Times New Roman"/>
          <w:color w:val="auto"/>
          <w:szCs w:val="24"/>
          <w:u w:val="single"/>
        </w:rPr>
        <w:t xml:space="preserve"> </w:t>
      </w:r>
      <w:r>
        <w:rPr>
          <w:rFonts w:hint="eastAsia" w:ascii="Times New Roman" w:hAnsi="Times New Roman" w:eastAsia="宋体" w:cs="Times New Roman"/>
          <w:color w:val="auto"/>
          <w:szCs w:val="24"/>
          <w:u w:val="single"/>
        </w:rPr>
        <w:t xml:space="preserve">  </w:t>
      </w:r>
      <w:r>
        <w:rPr>
          <w:rFonts w:ascii="Times New Roman" w:hAnsi="Times New Roman" w:eastAsia="宋体" w:cs="Times New Roman"/>
          <w:color w:val="auto"/>
          <w:szCs w:val="24"/>
          <w:u w:val="single"/>
        </w:rPr>
        <w:t xml:space="preserve"> (项目名称)    </w:t>
      </w:r>
      <w:r>
        <w:rPr>
          <w:rFonts w:ascii="Times New Roman" w:hAnsi="Times New Roman" w:eastAsia="宋体" w:cs="Times New Roman"/>
          <w:color w:val="auto"/>
          <w:szCs w:val="24"/>
        </w:rPr>
        <w:t xml:space="preserve"> 的交易文件， 遵照国家有关法律法规等规定，我单位经研究上述交易文件的全部内容后，我方愿以人民币 (大写) ：</w:t>
      </w:r>
      <w:r>
        <w:rPr>
          <w:rFonts w:ascii="Times New Roman" w:hAnsi="Times New Roman" w:eastAsia="宋体" w:cs="Times New Roman"/>
          <w:color w:val="auto"/>
          <w:szCs w:val="24"/>
          <w:u w:val="single"/>
        </w:rPr>
        <w:t xml:space="preserve">         </w:t>
      </w:r>
      <w:r>
        <w:rPr>
          <w:rFonts w:ascii="Times New Roman" w:hAnsi="Times New Roman" w:eastAsia="宋体" w:cs="Times New Roman"/>
          <w:color w:val="auto"/>
          <w:szCs w:val="24"/>
        </w:rPr>
        <w:t>，RMB：¥</w:t>
      </w:r>
      <w:r>
        <w:rPr>
          <w:rFonts w:ascii="Times New Roman" w:hAnsi="Times New Roman" w:eastAsia="宋体" w:cs="Times New Roman"/>
          <w:color w:val="auto"/>
          <w:szCs w:val="24"/>
          <w:u w:val="single"/>
        </w:rPr>
        <w:t xml:space="preserve">                </w:t>
      </w:r>
      <w:r>
        <w:rPr>
          <w:rFonts w:ascii="Times New Roman" w:hAnsi="Times New Roman" w:eastAsia="宋体" w:cs="Times New Roman"/>
          <w:color w:val="auto"/>
          <w:szCs w:val="24"/>
        </w:rPr>
        <w:t>元， (大小写不一致的以大写金额为准) 的报价并按交易文件要求承包。本项目拟派项目负责人姓名：</w:t>
      </w:r>
      <w:r>
        <w:rPr>
          <w:rFonts w:ascii="Times New Roman" w:hAnsi="Times New Roman" w:eastAsia="宋体" w:cs="Times New Roman"/>
          <w:color w:val="auto"/>
          <w:szCs w:val="24"/>
          <w:u w:val="single"/>
        </w:rPr>
        <w:t xml:space="preserve">       </w:t>
      </w:r>
      <w:r>
        <w:rPr>
          <w:rFonts w:ascii="Times New Roman" w:hAnsi="Times New Roman" w:eastAsia="宋体" w:cs="Times New Roman"/>
          <w:color w:val="auto"/>
          <w:szCs w:val="24"/>
        </w:rPr>
        <w:t>，身份证号：</w:t>
      </w:r>
      <w:r>
        <w:rPr>
          <w:rFonts w:ascii="Times New Roman" w:hAnsi="Times New Roman" w:eastAsia="宋体" w:cs="Times New Roman"/>
          <w:color w:val="auto"/>
          <w:szCs w:val="24"/>
          <w:u w:val="single"/>
        </w:rPr>
        <w:t xml:space="preserve">                     </w:t>
      </w:r>
      <w:r>
        <w:rPr>
          <w:rFonts w:ascii="Times New Roman" w:hAnsi="Times New Roman" w:eastAsia="宋体" w:cs="Times New Roman"/>
          <w:color w:val="auto"/>
          <w:szCs w:val="24"/>
        </w:rPr>
        <w:t>。</w:t>
      </w:r>
    </w:p>
    <w:p w14:paraId="76ADE374">
      <w:pPr>
        <w:kinsoku/>
        <w:wordWrap w:val="0"/>
        <w:topLinePunct/>
        <w:autoSpaceDE/>
        <w:autoSpaceDN/>
        <w:adjustRightInd/>
        <w:snapToGrid/>
        <w:spacing w:before="3"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2、我方已详细审核全部交易文件，包括修改文件 (如有) 和有关附件，我方完全知道必须放弃提出含糊不清或误解的权力。</w:t>
      </w:r>
    </w:p>
    <w:p w14:paraId="0D001F03">
      <w:pPr>
        <w:kinsoku/>
        <w:wordWrap w:val="0"/>
        <w:topLinePunct/>
        <w:autoSpaceDE/>
        <w:autoSpaceDN/>
        <w:adjustRightInd/>
        <w:snapToGrid/>
        <w:spacing w:before="3"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3、一旦我方成为成交人，我方保证按合同协议书中规定的日期开始，并按合同协议书规定的预计日期完成，工期(服务期)</w:t>
      </w:r>
      <w:r>
        <w:rPr>
          <w:rFonts w:ascii="Times New Roman" w:hAnsi="Times New Roman" w:eastAsia="宋体" w:cs="Times New Roman"/>
          <w:color w:val="auto"/>
          <w:szCs w:val="24"/>
          <w:u w:val="single"/>
        </w:rPr>
        <w:t xml:space="preserve">      </w:t>
      </w:r>
      <w:r>
        <w:rPr>
          <w:rFonts w:ascii="Times New Roman" w:hAnsi="Times New Roman" w:eastAsia="宋体" w:cs="Times New Roman"/>
          <w:color w:val="auto"/>
          <w:szCs w:val="24"/>
        </w:rPr>
        <w:t xml:space="preserve"> 个日历天。</w:t>
      </w:r>
    </w:p>
    <w:p w14:paraId="14172A86">
      <w:pPr>
        <w:kinsoku/>
        <w:wordWrap w:val="0"/>
        <w:topLinePunct/>
        <w:autoSpaceDE/>
        <w:autoSpaceDN/>
        <w:adjustRightInd/>
        <w:snapToGrid/>
        <w:spacing w:before="3"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4、一旦我方成为成交人，我方保证按交易文件要求向贵方递交经贵方认可的履约担保。在我方报价低于风险控制价的情况下，我方将按照规定以保函的形式提交成交价与风险控制价之差额。</w:t>
      </w:r>
    </w:p>
    <w:p w14:paraId="1F0E6B96">
      <w:pPr>
        <w:kinsoku/>
        <w:wordWrap w:val="0"/>
        <w:topLinePunct/>
        <w:autoSpaceDE/>
        <w:autoSpaceDN/>
        <w:adjustRightInd/>
        <w:snapToGrid/>
        <w:spacing w:before="3"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5、我方同意所递交的响应文件在响应文件有效期内有效，在此期间内我方如有可能成交，我方将受此约束。如果在响应文件有效期内撤回，我方愿意承担相应损失。</w:t>
      </w:r>
    </w:p>
    <w:p w14:paraId="0A92E88B">
      <w:pPr>
        <w:kinsoku/>
        <w:wordWrap w:val="0"/>
        <w:topLinePunct/>
        <w:autoSpaceDE/>
        <w:autoSpaceDN/>
        <w:adjustRightInd/>
        <w:snapToGrid/>
        <w:spacing w:before="3"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6、除非另外达成协议并生效，贵方的成交通知书和本响应文件将成为约束我们双方的合同文件组成部分。</w:t>
      </w:r>
    </w:p>
    <w:p w14:paraId="3305D5B5">
      <w:pPr>
        <w:kinsoku/>
        <w:wordWrap w:val="0"/>
        <w:topLinePunct/>
        <w:autoSpaceDE/>
        <w:autoSpaceDN/>
        <w:adjustRightInd/>
        <w:snapToGrid/>
        <w:spacing w:before="3" w:line="360" w:lineRule="auto"/>
        <w:ind w:firstLine="480" w:firstLineChars="200"/>
        <w:jc w:val="both"/>
        <w:rPr>
          <w:rFonts w:ascii="Times New Roman" w:hAnsi="Times New Roman" w:eastAsia="宋体" w:cs="Times New Roman"/>
          <w:color w:val="auto"/>
          <w:szCs w:val="24"/>
        </w:rPr>
      </w:pPr>
    </w:p>
    <w:p w14:paraId="0813513D">
      <w:pPr>
        <w:kinsoku/>
        <w:wordWrap w:val="0"/>
        <w:topLinePunct/>
        <w:autoSpaceDE/>
        <w:autoSpaceDN/>
        <w:adjustRightInd/>
        <w:snapToGrid/>
        <w:spacing w:before="3" w:line="360" w:lineRule="auto"/>
        <w:ind w:firstLine="480" w:firstLineChars="200"/>
        <w:jc w:val="both"/>
        <w:rPr>
          <w:rFonts w:ascii="Times New Roman" w:hAnsi="Times New Roman" w:eastAsia="宋体" w:cs="Times New Roman"/>
          <w:color w:val="auto"/>
          <w:szCs w:val="24"/>
        </w:rPr>
      </w:pPr>
    </w:p>
    <w:p w14:paraId="3A276B0D">
      <w:pPr>
        <w:kinsoku/>
        <w:wordWrap w:val="0"/>
        <w:topLinePunct/>
        <w:autoSpaceDE/>
        <w:autoSpaceDN/>
        <w:adjustRightInd/>
        <w:snapToGrid/>
        <w:spacing w:before="3" w:line="360" w:lineRule="auto"/>
        <w:ind w:firstLine="480" w:firstLineChars="200"/>
        <w:jc w:val="both"/>
        <w:rPr>
          <w:rFonts w:ascii="Times New Roman" w:hAnsi="Times New Roman" w:eastAsia="宋体" w:cs="Times New Roman"/>
          <w:color w:val="auto"/>
          <w:szCs w:val="24"/>
        </w:rPr>
      </w:pPr>
    </w:p>
    <w:p w14:paraId="5472B8C0">
      <w:pPr>
        <w:kinsoku/>
        <w:wordWrap w:val="0"/>
        <w:topLinePunct/>
        <w:autoSpaceDE/>
        <w:autoSpaceDN/>
        <w:adjustRightInd/>
        <w:snapToGrid/>
        <w:spacing w:before="3" w:line="360" w:lineRule="auto"/>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　　　　　　　　　　　　　　　　　　　　潜在承包人名称(电子签名) ：</w:t>
      </w:r>
    </w:p>
    <w:p w14:paraId="4A18FB62">
      <w:pPr>
        <w:kinsoku/>
        <w:wordWrap w:val="0"/>
        <w:topLinePunct/>
        <w:autoSpaceDE/>
        <w:autoSpaceDN/>
        <w:adjustRightInd/>
        <w:snapToGrid/>
        <w:spacing w:before="3" w:line="360" w:lineRule="auto"/>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　　　　　　　　　　　　　　　　　　　　日期：   年    月    日</w:t>
      </w:r>
    </w:p>
    <w:p w14:paraId="656F6A73">
      <w:pPr>
        <w:kinsoku/>
        <w:wordWrap w:val="0"/>
        <w:topLinePunct/>
        <w:autoSpaceDE/>
        <w:autoSpaceDN/>
        <w:adjustRightInd/>
        <w:snapToGrid/>
        <w:ind w:firstLine="480" w:firstLineChars="200"/>
        <w:rPr>
          <w:rFonts w:ascii="Times New Roman" w:hAnsi="Times New Roman" w:cs="Times New Roman"/>
          <w:color w:val="auto"/>
        </w:rPr>
        <w:sectPr>
          <w:footerReference r:id="rId34" w:type="default"/>
          <w:pgSz w:w="11906" w:h="16838"/>
          <w:pgMar w:top="1440" w:right="1083" w:bottom="1440" w:left="1083" w:header="850" w:footer="850" w:gutter="0"/>
          <w:cols w:space="0" w:num="1"/>
        </w:sectPr>
      </w:pPr>
    </w:p>
    <w:p w14:paraId="269C5124">
      <w:pPr>
        <w:pStyle w:val="3"/>
        <w:widowControl w:val="0"/>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响应函附录</w:t>
      </w:r>
    </w:p>
    <w:tbl>
      <w:tblPr>
        <w:tblStyle w:val="22"/>
        <w:tblW w:w="9266" w:type="dxa"/>
        <w:jc w:val="center"/>
        <w:tblLayout w:type="autofit"/>
        <w:tblCellMar>
          <w:top w:w="0" w:type="dxa"/>
          <w:left w:w="108" w:type="dxa"/>
          <w:bottom w:w="0" w:type="dxa"/>
          <w:right w:w="108" w:type="dxa"/>
        </w:tblCellMar>
      </w:tblPr>
      <w:tblGrid>
        <w:gridCol w:w="861"/>
        <w:gridCol w:w="2955"/>
        <w:gridCol w:w="1955"/>
        <w:gridCol w:w="2190"/>
        <w:gridCol w:w="1305"/>
      </w:tblGrid>
      <w:tr w14:paraId="7A2342AD">
        <w:tblPrEx>
          <w:tblCellMar>
            <w:top w:w="0" w:type="dxa"/>
            <w:left w:w="108" w:type="dxa"/>
            <w:bottom w:w="0" w:type="dxa"/>
            <w:right w:w="108" w:type="dxa"/>
          </w:tblCellMar>
        </w:tblPrEx>
        <w:trPr>
          <w:trHeight w:val="680" w:hRule="exact"/>
          <w:jc w:val="center"/>
        </w:trPr>
        <w:tc>
          <w:tcPr>
            <w:tcW w:w="861" w:type="dxa"/>
            <w:tcBorders>
              <w:top w:val="single" w:color="474747" w:sz="8" w:space="0"/>
              <w:left w:val="single" w:color="474747" w:sz="8" w:space="0"/>
              <w:bottom w:val="single" w:color="888E93" w:sz="8" w:space="0"/>
              <w:right w:val="single" w:color="888E93" w:sz="8" w:space="0"/>
            </w:tcBorders>
            <w:shd w:val="clear" w:color="auto" w:fill="D9D9D9"/>
            <w:vAlign w:val="center"/>
          </w:tcPr>
          <w:p w14:paraId="6D340390">
            <w:pPr>
              <w:jc w:val="center"/>
              <w:textAlignment w:val="center"/>
              <w:rPr>
                <w:rFonts w:ascii="Times New Roman" w:hAnsi="Times New Roman" w:eastAsia="宋体" w:cs="Times New Roman"/>
                <w:b/>
                <w:bCs/>
                <w:color w:val="auto"/>
                <w:szCs w:val="24"/>
              </w:rPr>
            </w:pPr>
            <w:r>
              <w:rPr>
                <w:rFonts w:ascii="Times New Roman" w:hAnsi="Times New Roman" w:eastAsia="宋体" w:cs="Times New Roman"/>
                <w:b/>
                <w:bCs/>
                <w:color w:val="auto"/>
                <w:szCs w:val="24"/>
              </w:rPr>
              <w:t>序号</w:t>
            </w:r>
          </w:p>
        </w:tc>
        <w:tc>
          <w:tcPr>
            <w:tcW w:w="2955" w:type="dxa"/>
            <w:tcBorders>
              <w:top w:val="single" w:color="474747" w:sz="8" w:space="0"/>
              <w:left w:val="single" w:color="888E93" w:sz="8" w:space="0"/>
              <w:bottom w:val="single" w:color="888E93" w:sz="8" w:space="0"/>
              <w:right w:val="single" w:color="888E93" w:sz="8" w:space="0"/>
            </w:tcBorders>
            <w:shd w:val="clear" w:color="auto" w:fill="D9D9D9"/>
            <w:vAlign w:val="center"/>
          </w:tcPr>
          <w:p w14:paraId="6B9B0C2F">
            <w:pPr>
              <w:jc w:val="center"/>
              <w:textAlignment w:val="center"/>
              <w:rPr>
                <w:rFonts w:ascii="Times New Roman" w:hAnsi="Times New Roman" w:eastAsia="宋体" w:cs="Times New Roman"/>
                <w:b/>
                <w:bCs/>
                <w:color w:val="auto"/>
                <w:szCs w:val="24"/>
              </w:rPr>
            </w:pPr>
            <w:r>
              <w:rPr>
                <w:rFonts w:ascii="Times New Roman" w:hAnsi="Times New Roman" w:eastAsia="宋体" w:cs="Times New Roman"/>
                <w:b/>
                <w:bCs/>
                <w:color w:val="auto"/>
                <w:szCs w:val="24"/>
              </w:rPr>
              <w:t>项目内容</w:t>
            </w:r>
          </w:p>
        </w:tc>
        <w:tc>
          <w:tcPr>
            <w:tcW w:w="1955" w:type="dxa"/>
            <w:tcBorders>
              <w:top w:val="single" w:color="474747" w:sz="8" w:space="0"/>
              <w:left w:val="single" w:color="888E93" w:sz="8" w:space="0"/>
              <w:bottom w:val="single" w:color="888E93" w:sz="8" w:space="0"/>
              <w:right w:val="single" w:color="888E93" w:sz="8" w:space="0"/>
            </w:tcBorders>
            <w:shd w:val="clear" w:color="auto" w:fill="D9D9D9"/>
            <w:vAlign w:val="center"/>
          </w:tcPr>
          <w:p w14:paraId="5B53B3FA">
            <w:pPr>
              <w:jc w:val="center"/>
              <w:textAlignment w:val="center"/>
              <w:rPr>
                <w:rFonts w:ascii="Times New Roman" w:hAnsi="Times New Roman" w:eastAsia="宋体" w:cs="Times New Roman"/>
                <w:b/>
                <w:bCs/>
                <w:color w:val="auto"/>
                <w:szCs w:val="24"/>
              </w:rPr>
            </w:pPr>
            <w:r>
              <w:rPr>
                <w:rFonts w:ascii="Times New Roman" w:hAnsi="Times New Roman" w:eastAsia="宋体" w:cs="Times New Roman"/>
                <w:b/>
                <w:bCs/>
                <w:color w:val="auto"/>
                <w:szCs w:val="24"/>
              </w:rPr>
              <w:t>合同条款号</w:t>
            </w:r>
          </w:p>
        </w:tc>
        <w:tc>
          <w:tcPr>
            <w:tcW w:w="2190" w:type="dxa"/>
            <w:tcBorders>
              <w:top w:val="single" w:color="474747" w:sz="8" w:space="0"/>
              <w:left w:val="single" w:color="888E93" w:sz="8" w:space="0"/>
              <w:bottom w:val="single" w:color="888E93" w:sz="8" w:space="0"/>
              <w:right w:val="single" w:color="888E93" w:sz="8" w:space="0"/>
            </w:tcBorders>
            <w:shd w:val="clear" w:color="auto" w:fill="D9D9D9"/>
            <w:vAlign w:val="center"/>
          </w:tcPr>
          <w:p w14:paraId="073C2633">
            <w:pPr>
              <w:jc w:val="center"/>
              <w:textAlignment w:val="center"/>
              <w:rPr>
                <w:rFonts w:ascii="Times New Roman" w:hAnsi="Times New Roman" w:eastAsia="宋体" w:cs="Times New Roman"/>
                <w:b/>
                <w:bCs/>
                <w:color w:val="auto"/>
                <w:szCs w:val="24"/>
              </w:rPr>
            </w:pPr>
            <w:r>
              <w:rPr>
                <w:rFonts w:ascii="Times New Roman" w:hAnsi="Times New Roman" w:eastAsia="宋体" w:cs="Times New Roman"/>
                <w:b/>
                <w:bCs/>
                <w:color w:val="auto"/>
                <w:szCs w:val="24"/>
              </w:rPr>
              <w:t>约定内容</w:t>
            </w:r>
          </w:p>
        </w:tc>
        <w:tc>
          <w:tcPr>
            <w:tcW w:w="1305" w:type="dxa"/>
            <w:tcBorders>
              <w:top w:val="single" w:color="474747" w:sz="8" w:space="0"/>
              <w:left w:val="single" w:color="888E93" w:sz="8" w:space="0"/>
              <w:bottom w:val="single" w:color="888E93" w:sz="8" w:space="0"/>
              <w:right w:val="single" w:color="474747" w:sz="8" w:space="0"/>
            </w:tcBorders>
            <w:shd w:val="clear" w:color="auto" w:fill="D9D9D9"/>
            <w:vAlign w:val="center"/>
          </w:tcPr>
          <w:p w14:paraId="1F424048">
            <w:pPr>
              <w:jc w:val="center"/>
              <w:textAlignment w:val="center"/>
              <w:rPr>
                <w:rFonts w:ascii="Times New Roman" w:hAnsi="Times New Roman" w:eastAsia="宋体" w:cs="Times New Roman"/>
                <w:b/>
                <w:bCs/>
                <w:color w:val="auto"/>
                <w:szCs w:val="24"/>
              </w:rPr>
            </w:pPr>
            <w:r>
              <w:rPr>
                <w:rFonts w:ascii="Times New Roman" w:hAnsi="Times New Roman" w:eastAsia="宋体" w:cs="Times New Roman"/>
                <w:b/>
                <w:bCs/>
                <w:color w:val="auto"/>
                <w:szCs w:val="24"/>
              </w:rPr>
              <w:t>备注</w:t>
            </w:r>
          </w:p>
        </w:tc>
      </w:tr>
      <w:tr w14:paraId="706FA317">
        <w:tblPrEx>
          <w:tblCellMar>
            <w:top w:w="0" w:type="dxa"/>
            <w:left w:w="108" w:type="dxa"/>
            <w:bottom w:w="0" w:type="dxa"/>
            <w:right w:w="108" w:type="dxa"/>
          </w:tblCellMar>
        </w:tblPrEx>
        <w:trPr>
          <w:trHeight w:val="680" w:hRule="exact"/>
          <w:jc w:val="center"/>
        </w:trPr>
        <w:tc>
          <w:tcPr>
            <w:tcW w:w="861" w:type="dxa"/>
            <w:vMerge w:val="restart"/>
            <w:tcBorders>
              <w:top w:val="single" w:color="888E93" w:sz="8" w:space="0"/>
              <w:left w:val="single" w:color="474747" w:sz="8" w:space="0"/>
              <w:bottom w:val="single" w:color="888E93" w:sz="8" w:space="0"/>
              <w:right w:val="single" w:color="888E93" w:sz="8" w:space="0"/>
            </w:tcBorders>
            <w:shd w:val="clear" w:color="auto" w:fill="FFFFFF"/>
            <w:vAlign w:val="center"/>
          </w:tcPr>
          <w:p w14:paraId="7EC1955E">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1</w:t>
            </w:r>
          </w:p>
        </w:tc>
        <w:tc>
          <w:tcPr>
            <w:tcW w:w="2955" w:type="dxa"/>
            <w:tcBorders>
              <w:top w:val="single" w:color="888E93" w:sz="8" w:space="0"/>
              <w:left w:val="single" w:color="888E93" w:sz="8" w:space="0"/>
              <w:bottom w:val="nil"/>
              <w:right w:val="single" w:color="888E93" w:sz="8" w:space="0"/>
            </w:tcBorders>
            <w:shd w:val="clear" w:color="auto" w:fill="FFFFFF"/>
            <w:vAlign w:val="center"/>
          </w:tcPr>
          <w:p w14:paraId="325C9CCA">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履约担保</w:t>
            </w:r>
          </w:p>
        </w:tc>
        <w:tc>
          <w:tcPr>
            <w:tcW w:w="1955" w:type="dxa"/>
            <w:vMerge w:val="restart"/>
            <w:tcBorders>
              <w:top w:val="single" w:color="888E93" w:sz="8" w:space="0"/>
              <w:left w:val="single" w:color="888E93" w:sz="8" w:space="0"/>
              <w:bottom w:val="single" w:color="888E93" w:sz="8" w:space="0"/>
              <w:right w:val="single" w:color="888E93" w:sz="8" w:space="0"/>
            </w:tcBorders>
            <w:shd w:val="clear" w:color="auto" w:fill="FFFFFF"/>
            <w:vAlign w:val="center"/>
          </w:tcPr>
          <w:p w14:paraId="249ECB86">
            <w:pPr>
              <w:rPr>
                <w:rFonts w:ascii="Times New Roman" w:hAnsi="Times New Roman" w:eastAsia="宋体" w:cs="Times New Roman"/>
                <w:color w:val="auto"/>
                <w:szCs w:val="24"/>
              </w:rPr>
            </w:pPr>
          </w:p>
        </w:tc>
        <w:tc>
          <w:tcPr>
            <w:tcW w:w="2190" w:type="dxa"/>
            <w:vMerge w:val="restart"/>
            <w:tcBorders>
              <w:top w:val="single" w:color="888E93" w:sz="8" w:space="0"/>
              <w:left w:val="single" w:color="888E93" w:sz="8" w:space="0"/>
              <w:bottom w:val="single" w:color="888E93" w:sz="8" w:space="0"/>
              <w:right w:val="single" w:color="888E93" w:sz="8" w:space="0"/>
            </w:tcBorders>
            <w:shd w:val="clear" w:color="auto" w:fill="FFFFFF"/>
            <w:vAlign w:val="center"/>
          </w:tcPr>
          <w:p w14:paraId="7AC9B07B">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vMerge w:val="restart"/>
            <w:tcBorders>
              <w:top w:val="single" w:color="888E93" w:sz="8" w:space="0"/>
              <w:left w:val="single" w:color="888E93" w:sz="8" w:space="0"/>
              <w:bottom w:val="single" w:color="888E93" w:sz="8" w:space="0"/>
              <w:right w:val="single" w:color="474747" w:sz="8" w:space="0"/>
            </w:tcBorders>
            <w:shd w:val="clear" w:color="auto" w:fill="FFFFFF"/>
            <w:vAlign w:val="center"/>
          </w:tcPr>
          <w:p w14:paraId="62801CAC">
            <w:pPr>
              <w:rPr>
                <w:rFonts w:ascii="Times New Roman" w:hAnsi="Times New Roman" w:eastAsia="宋体" w:cs="Times New Roman"/>
                <w:color w:val="auto"/>
                <w:szCs w:val="24"/>
              </w:rPr>
            </w:pPr>
          </w:p>
        </w:tc>
      </w:tr>
      <w:tr w14:paraId="645F25E7">
        <w:tblPrEx>
          <w:tblCellMar>
            <w:top w:w="0" w:type="dxa"/>
            <w:left w:w="108" w:type="dxa"/>
            <w:bottom w:w="0" w:type="dxa"/>
            <w:right w:w="108" w:type="dxa"/>
          </w:tblCellMar>
        </w:tblPrEx>
        <w:trPr>
          <w:trHeight w:val="680" w:hRule="exact"/>
          <w:jc w:val="center"/>
        </w:trPr>
        <w:tc>
          <w:tcPr>
            <w:tcW w:w="861" w:type="dxa"/>
            <w:vMerge w:val="continue"/>
            <w:tcBorders>
              <w:top w:val="single" w:color="888E93" w:sz="8" w:space="0"/>
              <w:left w:val="single" w:color="474747" w:sz="8" w:space="0"/>
              <w:bottom w:val="single" w:color="888E93" w:sz="8" w:space="0"/>
              <w:right w:val="single" w:color="888E93" w:sz="8" w:space="0"/>
            </w:tcBorders>
            <w:shd w:val="clear" w:color="auto" w:fill="FFFFFF"/>
            <w:vAlign w:val="center"/>
          </w:tcPr>
          <w:p w14:paraId="5D80F798">
            <w:pPr>
              <w:jc w:val="center"/>
              <w:rPr>
                <w:rFonts w:ascii="Times New Roman" w:hAnsi="Times New Roman" w:eastAsia="宋体" w:cs="Times New Roman"/>
                <w:color w:val="auto"/>
                <w:szCs w:val="24"/>
              </w:rPr>
            </w:pPr>
          </w:p>
        </w:tc>
        <w:tc>
          <w:tcPr>
            <w:tcW w:w="2955" w:type="dxa"/>
            <w:tcBorders>
              <w:top w:val="nil"/>
              <w:left w:val="single" w:color="888E93" w:sz="8" w:space="0"/>
              <w:bottom w:val="nil"/>
              <w:right w:val="single" w:color="888E93" w:sz="8" w:space="0"/>
            </w:tcBorders>
            <w:shd w:val="clear" w:color="auto" w:fill="FFFFFF"/>
            <w:vAlign w:val="center"/>
          </w:tcPr>
          <w:p w14:paraId="41D45F8A">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银行保函金额</w:t>
            </w:r>
          </w:p>
        </w:tc>
        <w:tc>
          <w:tcPr>
            <w:tcW w:w="1955" w:type="dxa"/>
            <w:vMerge w:val="continue"/>
            <w:tcBorders>
              <w:top w:val="single" w:color="888E93" w:sz="8" w:space="0"/>
              <w:left w:val="single" w:color="888E93" w:sz="8" w:space="0"/>
              <w:bottom w:val="single" w:color="888E93" w:sz="8" w:space="0"/>
              <w:right w:val="single" w:color="888E93" w:sz="8" w:space="0"/>
            </w:tcBorders>
            <w:shd w:val="clear" w:color="auto" w:fill="FFFFFF"/>
            <w:vAlign w:val="center"/>
          </w:tcPr>
          <w:p w14:paraId="620B0197">
            <w:pPr>
              <w:rPr>
                <w:rFonts w:ascii="Times New Roman" w:hAnsi="Times New Roman" w:eastAsia="宋体" w:cs="Times New Roman"/>
                <w:color w:val="auto"/>
                <w:szCs w:val="24"/>
              </w:rPr>
            </w:pPr>
          </w:p>
        </w:tc>
        <w:tc>
          <w:tcPr>
            <w:tcW w:w="2190" w:type="dxa"/>
            <w:vMerge w:val="continue"/>
            <w:tcBorders>
              <w:top w:val="single" w:color="888E93" w:sz="8" w:space="0"/>
              <w:left w:val="single" w:color="888E93" w:sz="8" w:space="0"/>
              <w:bottom w:val="single" w:color="888E93" w:sz="8" w:space="0"/>
              <w:right w:val="single" w:color="888E93" w:sz="8" w:space="0"/>
            </w:tcBorders>
            <w:shd w:val="clear" w:color="auto" w:fill="FFFFFF"/>
            <w:vAlign w:val="center"/>
          </w:tcPr>
          <w:p w14:paraId="6A1AF392">
            <w:pPr>
              <w:rPr>
                <w:rFonts w:ascii="Times New Roman" w:hAnsi="Times New Roman" w:eastAsia="宋体" w:cs="Times New Roman"/>
                <w:color w:val="auto"/>
                <w:szCs w:val="24"/>
              </w:rPr>
            </w:pPr>
          </w:p>
        </w:tc>
        <w:tc>
          <w:tcPr>
            <w:tcW w:w="1305" w:type="dxa"/>
            <w:vMerge w:val="continue"/>
            <w:tcBorders>
              <w:top w:val="single" w:color="888E93" w:sz="8" w:space="0"/>
              <w:left w:val="single" w:color="888E93" w:sz="8" w:space="0"/>
              <w:bottom w:val="single" w:color="888E93" w:sz="8" w:space="0"/>
              <w:right w:val="single" w:color="474747" w:sz="8" w:space="0"/>
            </w:tcBorders>
            <w:shd w:val="clear" w:color="auto" w:fill="FFFFFF"/>
            <w:vAlign w:val="center"/>
          </w:tcPr>
          <w:p w14:paraId="32A20B72">
            <w:pPr>
              <w:rPr>
                <w:rFonts w:ascii="Times New Roman" w:hAnsi="Times New Roman" w:eastAsia="宋体" w:cs="Times New Roman"/>
                <w:color w:val="auto"/>
                <w:szCs w:val="24"/>
              </w:rPr>
            </w:pPr>
          </w:p>
        </w:tc>
      </w:tr>
      <w:tr w14:paraId="7F090443">
        <w:tblPrEx>
          <w:tblCellMar>
            <w:top w:w="0" w:type="dxa"/>
            <w:left w:w="108" w:type="dxa"/>
            <w:bottom w:w="0" w:type="dxa"/>
            <w:right w:w="108" w:type="dxa"/>
          </w:tblCellMar>
        </w:tblPrEx>
        <w:trPr>
          <w:trHeight w:val="680" w:hRule="exact"/>
          <w:jc w:val="center"/>
        </w:trPr>
        <w:tc>
          <w:tcPr>
            <w:tcW w:w="861" w:type="dxa"/>
            <w:vMerge w:val="continue"/>
            <w:tcBorders>
              <w:top w:val="single" w:color="888E93" w:sz="8" w:space="0"/>
              <w:left w:val="single" w:color="474747" w:sz="8" w:space="0"/>
              <w:bottom w:val="single" w:color="888E93" w:sz="8" w:space="0"/>
              <w:right w:val="single" w:color="888E93" w:sz="8" w:space="0"/>
            </w:tcBorders>
            <w:shd w:val="clear" w:color="auto" w:fill="FFFFFF"/>
            <w:vAlign w:val="center"/>
          </w:tcPr>
          <w:p w14:paraId="338DA78E">
            <w:pPr>
              <w:jc w:val="center"/>
              <w:rPr>
                <w:rFonts w:ascii="Times New Roman" w:hAnsi="Times New Roman" w:eastAsia="宋体" w:cs="Times New Roman"/>
                <w:color w:val="auto"/>
                <w:szCs w:val="24"/>
              </w:rPr>
            </w:pPr>
          </w:p>
        </w:tc>
        <w:tc>
          <w:tcPr>
            <w:tcW w:w="2955" w:type="dxa"/>
            <w:tcBorders>
              <w:top w:val="nil"/>
              <w:left w:val="single" w:color="888E93" w:sz="8" w:space="0"/>
              <w:bottom w:val="single" w:color="888E93" w:sz="8" w:space="0"/>
              <w:right w:val="single" w:color="888E93" w:sz="8" w:space="0"/>
            </w:tcBorders>
            <w:shd w:val="clear" w:color="auto" w:fill="FFFFFF"/>
            <w:vAlign w:val="center"/>
          </w:tcPr>
          <w:p w14:paraId="69D96C31">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履约担保书金额</w:t>
            </w:r>
          </w:p>
        </w:tc>
        <w:tc>
          <w:tcPr>
            <w:tcW w:w="1955" w:type="dxa"/>
            <w:vMerge w:val="continue"/>
            <w:tcBorders>
              <w:top w:val="single" w:color="888E93" w:sz="8" w:space="0"/>
              <w:left w:val="single" w:color="888E93" w:sz="8" w:space="0"/>
              <w:bottom w:val="single" w:color="888E93" w:sz="8" w:space="0"/>
              <w:right w:val="single" w:color="888E93" w:sz="8" w:space="0"/>
            </w:tcBorders>
            <w:shd w:val="clear" w:color="auto" w:fill="FFFFFF"/>
            <w:vAlign w:val="center"/>
          </w:tcPr>
          <w:p w14:paraId="41D57079">
            <w:pPr>
              <w:rPr>
                <w:rFonts w:ascii="Times New Roman" w:hAnsi="Times New Roman" w:eastAsia="宋体" w:cs="Times New Roman"/>
                <w:color w:val="auto"/>
                <w:szCs w:val="24"/>
              </w:rPr>
            </w:pPr>
          </w:p>
        </w:tc>
        <w:tc>
          <w:tcPr>
            <w:tcW w:w="2190" w:type="dxa"/>
            <w:vMerge w:val="continue"/>
            <w:tcBorders>
              <w:top w:val="single" w:color="888E93" w:sz="8" w:space="0"/>
              <w:left w:val="single" w:color="888E93" w:sz="8" w:space="0"/>
              <w:bottom w:val="single" w:color="888E93" w:sz="8" w:space="0"/>
              <w:right w:val="single" w:color="888E93" w:sz="8" w:space="0"/>
            </w:tcBorders>
            <w:shd w:val="clear" w:color="auto" w:fill="FFFFFF"/>
            <w:vAlign w:val="center"/>
          </w:tcPr>
          <w:p w14:paraId="79CCD68A">
            <w:pPr>
              <w:rPr>
                <w:rFonts w:ascii="Times New Roman" w:hAnsi="Times New Roman" w:eastAsia="宋体" w:cs="Times New Roman"/>
                <w:color w:val="auto"/>
                <w:szCs w:val="24"/>
              </w:rPr>
            </w:pPr>
          </w:p>
        </w:tc>
        <w:tc>
          <w:tcPr>
            <w:tcW w:w="1305" w:type="dxa"/>
            <w:vMerge w:val="continue"/>
            <w:tcBorders>
              <w:top w:val="single" w:color="888E93" w:sz="8" w:space="0"/>
              <w:left w:val="single" w:color="888E93" w:sz="8" w:space="0"/>
              <w:bottom w:val="single" w:color="888E93" w:sz="8" w:space="0"/>
              <w:right w:val="single" w:color="474747" w:sz="8" w:space="0"/>
            </w:tcBorders>
            <w:shd w:val="clear" w:color="auto" w:fill="FFFFFF"/>
            <w:vAlign w:val="center"/>
          </w:tcPr>
          <w:p w14:paraId="6022A930">
            <w:pPr>
              <w:rPr>
                <w:rFonts w:ascii="Times New Roman" w:hAnsi="Times New Roman" w:eastAsia="宋体" w:cs="Times New Roman"/>
                <w:color w:val="auto"/>
                <w:szCs w:val="24"/>
              </w:rPr>
            </w:pPr>
          </w:p>
        </w:tc>
      </w:tr>
      <w:tr w14:paraId="0A48E322">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07A7339A">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2</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301A28BD">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施工准备时间</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12D2087B">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273CE081">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25CC5BB5">
            <w:pPr>
              <w:rPr>
                <w:rFonts w:ascii="Times New Roman" w:hAnsi="Times New Roman" w:eastAsia="宋体" w:cs="Times New Roman"/>
                <w:color w:val="auto"/>
                <w:szCs w:val="24"/>
              </w:rPr>
            </w:pPr>
          </w:p>
        </w:tc>
      </w:tr>
      <w:tr w14:paraId="5058D839">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0B951E2F">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3</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5A762208">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误期违约金额</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7CF2D90C">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39D5611D">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31FA7EE8">
            <w:pPr>
              <w:rPr>
                <w:rFonts w:ascii="Times New Roman" w:hAnsi="Times New Roman" w:eastAsia="宋体" w:cs="Times New Roman"/>
                <w:color w:val="auto"/>
                <w:szCs w:val="24"/>
              </w:rPr>
            </w:pPr>
          </w:p>
        </w:tc>
      </w:tr>
      <w:tr w14:paraId="61D19881">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5CD031BC">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4</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15836388">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误期赔偿费限额</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4D1FFDC6">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06CBA8BF">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5E365203">
            <w:pPr>
              <w:rPr>
                <w:rFonts w:ascii="Times New Roman" w:hAnsi="Times New Roman" w:eastAsia="宋体" w:cs="Times New Roman"/>
                <w:color w:val="auto"/>
                <w:szCs w:val="24"/>
              </w:rPr>
            </w:pPr>
          </w:p>
        </w:tc>
      </w:tr>
      <w:tr w14:paraId="2490A004">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25F019BB">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5</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5D942668">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提前工期奖</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00375C48">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2A924AD9">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5A06F9C2">
            <w:pPr>
              <w:rPr>
                <w:rFonts w:ascii="Times New Roman" w:hAnsi="Times New Roman" w:eastAsia="宋体" w:cs="Times New Roman"/>
                <w:color w:val="auto"/>
                <w:szCs w:val="24"/>
              </w:rPr>
            </w:pPr>
          </w:p>
        </w:tc>
      </w:tr>
      <w:tr w14:paraId="22A2ED67">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3E3D3671">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6</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59BB9197">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创优质工程(如有)</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46579A05">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5C90CBE5">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3E136BBA">
            <w:pPr>
              <w:rPr>
                <w:rFonts w:ascii="Times New Roman" w:hAnsi="Times New Roman" w:eastAsia="宋体" w:cs="Times New Roman"/>
                <w:color w:val="auto"/>
                <w:szCs w:val="24"/>
              </w:rPr>
            </w:pPr>
          </w:p>
        </w:tc>
      </w:tr>
      <w:tr w14:paraId="0BBE44BD">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4FCC266B">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7</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52E73D52">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工程质量违约金最高金额</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21BE5597">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4FAE3386">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03660AC9">
            <w:pPr>
              <w:rPr>
                <w:rFonts w:ascii="Times New Roman" w:hAnsi="Times New Roman" w:eastAsia="宋体" w:cs="Times New Roman"/>
                <w:color w:val="auto"/>
                <w:szCs w:val="24"/>
              </w:rPr>
            </w:pPr>
          </w:p>
        </w:tc>
      </w:tr>
      <w:tr w14:paraId="07670800">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7824BD39">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8</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1E3AC0FA">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预付款金额</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62B98DAE">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0E9427C3">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24843AF6">
            <w:pPr>
              <w:rPr>
                <w:rFonts w:ascii="Times New Roman" w:hAnsi="Times New Roman" w:eastAsia="宋体" w:cs="Times New Roman"/>
                <w:color w:val="auto"/>
                <w:szCs w:val="24"/>
              </w:rPr>
            </w:pPr>
          </w:p>
        </w:tc>
      </w:tr>
      <w:tr w14:paraId="001B0C6F">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25B17CFE">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9</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458DF5FF">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预付款保函金额</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6D88B9C0">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344D347F">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38AC45CC">
            <w:pPr>
              <w:rPr>
                <w:rFonts w:ascii="Times New Roman" w:hAnsi="Times New Roman" w:eastAsia="宋体" w:cs="Times New Roman"/>
                <w:color w:val="auto"/>
                <w:szCs w:val="24"/>
              </w:rPr>
            </w:pPr>
          </w:p>
        </w:tc>
      </w:tr>
      <w:tr w14:paraId="3EA2BE03">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6A98C289">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10</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3957A614">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进度款付款金额</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7FE02C2E">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2F7B3E46">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2DF0421D">
            <w:pPr>
              <w:rPr>
                <w:rFonts w:ascii="Times New Roman" w:hAnsi="Times New Roman" w:eastAsia="宋体" w:cs="Times New Roman"/>
                <w:color w:val="auto"/>
                <w:szCs w:val="24"/>
              </w:rPr>
            </w:pPr>
          </w:p>
        </w:tc>
      </w:tr>
      <w:tr w14:paraId="2072B571">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6B7C894D">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11</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51DCCBD5">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竣工结算款付款时间</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3FEF673B">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4F254974">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2B0DA0E4">
            <w:pPr>
              <w:rPr>
                <w:rFonts w:ascii="Times New Roman" w:hAnsi="Times New Roman" w:eastAsia="宋体" w:cs="Times New Roman"/>
                <w:color w:val="auto"/>
                <w:szCs w:val="24"/>
              </w:rPr>
            </w:pPr>
          </w:p>
        </w:tc>
      </w:tr>
      <w:tr w14:paraId="7647A58B">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474747" w:sz="8" w:space="0"/>
              <w:right w:val="single" w:color="888E93" w:sz="8" w:space="0"/>
            </w:tcBorders>
            <w:shd w:val="clear" w:color="auto" w:fill="FFFFFF"/>
            <w:vAlign w:val="center"/>
          </w:tcPr>
          <w:p w14:paraId="39F886C2">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12</w:t>
            </w:r>
          </w:p>
        </w:tc>
        <w:tc>
          <w:tcPr>
            <w:tcW w:w="2955" w:type="dxa"/>
            <w:tcBorders>
              <w:top w:val="single" w:color="888E93" w:sz="8" w:space="0"/>
              <w:left w:val="single" w:color="888E93" w:sz="8" w:space="0"/>
              <w:bottom w:val="single" w:color="474747" w:sz="8" w:space="0"/>
              <w:right w:val="single" w:color="888E93" w:sz="8" w:space="0"/>
            </w:tcBorders>
            <w:shd w:val="clear" w:color="auto" w:fill="FFFFFF"/>
            <w:vAlign w:val="center"/>
          </w:tcPr>
          <w:p w14:paraId="569BE17B">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保修期</w:t>
            </w:r>
          </w:p>
        </w:tc>
        <w:tc>
          <w:tcPr>
            <w:tcW w:w="1955" w:type="dxa"/>
            <w:tcBorders>
              <w:top w:val="single" w:color="888E93" w:sz="8" w:space="0"/>
              <w:left w:val="single" w:color="888E93" w:sz="8" w:space="0"/>
              <w:bottom w:val="single" w:color="474747" w:sz="8" w:space="0"/>
              <w:right w:val="single" w:color="888E93" w:sz="8" w:space="0"/>
            </w:tcBorders>
            <w:shd w:val="clear" w:color="auto" w:fill="FFFFFF"/>
            <w:vAlign w:val="center"/>
          </w:tcPr>
          <w:p w14:paraId="53C7E419">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474747" w:sz="8" w:space="0"/>
              <w:right w:val="single" w:color="888E93" w:sz="8" w:space="0"/>
            </w:tcBorders>
            <w:shd w:val="clear" w:color="auto" w:fill="FFFFFF"/>
            <w:vAlign w:val="center"/>
          </w:tcPr>
          <w:p w14:paraId="5E1863A4">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474747" w:sz="8" w:space="0"/>
              <w:right w:val="single" w:color="474747" w:sz="8" w:space="0"/>
            </w:tcBorders>
            <w:shd w:val="clear" w:color="auto" w:fill="FFFFFF"/>
            <w:vAlign w:val="center"/>
          </w:tcPr>
          <w:p w14:paraId="40522F4F">
            <w:pPr>
              <w:rPr>
                <w:rFonts w:ascii="Times New Roman" w:hAnsi="Times New Roman" w:eastAsia="宋体" w:cs="Times New Roman"/>
                <w:color w:val="auto"/>
                <w:szCs w:val="24"/>
              </w:rPr>
            </w:pPr>
          </w:p>
        </w:tc>
      </w:tr>
    </w:tbl>
    <w:p w14:paraId="63CB440D">
      <w:pPr>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br w:type="page"/>
      </w:r>
    </w:p>
    <w:p w14:paraId="69F2E706">
      <w:pPr>
        <w:pStyle w:val="3"/>
        <w:widowControl w:val="0"/>
        <w:kinsoku/>
        <w:topLinePunct/>
        <w:rPr>
          <w:rFonts w:ascii="宋体" w:hAnsi="宋体" w:eastAsia="宋体" w:cs="宋体"/>
          <w:b w:val="0"/>
          <w:bCs w:val="0"/>
          <w:color w:val="auto"/>
          <w:spacing w:val="-1"/>
          <w:sz w:val="44"/>
          <w:szCs w:val="44"/>
          <w14:textOutline w14:w="5448"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
          <w:sz w:val="44"/>
          <w:szCs w:val="44"/>
          <w14:textOutline w14:w="5448" w14:cap="flat" w14:cmpd="sng" w14:algn="ctr">
            <w14:solidFill>
              <w14:srgbClr w14:val="000000"/>
            </w14:solidFill>
            <w14:prstDash w14:val="solid"/>
            <w14:miter w14:val="0"/>
          </w14:textOutline>
        </w:rPr>
        <w:t>工程量清单报价</w:t>
      </w:r>
    </w:p>
    <w:p w14:paraId="08CBBB56"/>
    <w:p w14:paraId="0E3808E1">
      <w:pPr>
        <w:numPr>
          <w:ilvl w:val="0"/>
          <w:numId w:val="10"/>
        </w:numPr>
        <w:kinsoku/>
        <w:snapToGrid/>
        <w:rPr>
          <w:rFonts w:ascii="宋体" w:hAnsi="宋体" w:eastAsia="宋体" w:cs="宋体"/>
        </w:rPr>
      </w:pPr>
      <w:r>
        <w:rPr>
          <w:rFonts w:hint="eastAsia" w:ascii="宋体" w:hAnsi="宋体" w:eastAsia="宋体" w:cs="宋体"/>
        </w:rPr>
        <w:t>响应报价应根据下列依据进行编制：相关专业工程的国家标准《工程量计算规范》；省、市建设行政主管部门以及工程造价管理机构颁发的相关计价规定；《杭州市建设工程工程量清单计价实施细则（2018年修订）》；本企业定额或参照省、市建设行政主管部门颁发的计价依据；交易文件、发包工程量清单及其补充通知、答疑纪要；达到规定设计深度的施工图纸；与工程项目有关的规范、标准、技术资料；施工现场实际情况、工程特点和潜在承包人自行拟定的施工组织设计或施工方案；市场价格或工程造价管理机构发布的价格信息；其他相关资料。</w:t>
      </w:r>
    </w:p>
    <w:p w14:paraId="46F905D5">
      <w:pPr>
        <w:numPr>
          <w:ilvl w:val="0"/>
          <w:numId w:val="10"/>
        </w:numPr>
        <w:kinsoku/>
        <w:snapToGrid/>
        <w:rPr>
          <w:rFonts w:ascii="宋体" w:hAnsi="宋体" w:eastAsia="宋体" w:cs="宋体"/>
        </w:rPr>
      </w:pPr>
      <w:r>
        <w:rPr>
          <w:rFonts w:hint="eastAsia" w:ascii="宋体" w:hAnsi="宋体" w:eastAsia="宋体" w:cs="宋体"/>
        </w:rPr>
        <w:t>潜在承包人应当根据本企业的具体经营状况、技术装备水平、管理水平，视工程的实际情况、风险程度，自主报价。潜在承包人不得以低于其企业成本的响应报价竞标。</w:t>
      </w:r>
    </w:p>
    <w:p w14:paraId="729AB565">
      <w:pPr>
        <w:tabs>
          <w:tab w:val="left" w:pos="3780"/>
        </w:tabs>
        <w:kinsoku/>
        <w:snapToGrid/>
        <w:ind w:firstLine="480" w:firstLineChars="200"/>
        <w:rPr>
          <w:rFonts w:ascii="宋体" w:hAnsi="宋体" w:eastAsia="宋体" w:cs="宋体"/>
        </w:rPr>
      </w:pPr>
      <w:r>
        <w:rPr>
          <w:rFonts w:hint="eastAsia" w:ascii="宋体" w:hAnsi="宋体" w:eastAsia="宋体" w:cs="宋体"/>
        </w:rPr>
        <w:t>潜在承包人应根据其响应报价情况提供书面报价说明。报价说明的主要内容包括：响应报价的编制依据；对工期、质量、材料、施工等方面的承诺；综合单价中考虑的风险因素、风险范围（幅度）；措施项目的依据；其他需要说明的问题。</w:t>
      </w:r>
    </w:p>
    <w:p w14:paraId="011EE4EE">
      <w:pPr>
        <w:numPr>
          <w:ilvl w:val="0"/>
          <w:numId w:val="10"/>
        </w:numPr>
        <w:kinsoku/>
        <w:snapToGrid/>
        <w:rPr>
          <w:rFonts w:ascii="宋体" w:hAnsi="宋体" w:eastAsia="宋体" w:cs="宋体"/>
        </w:rPr>
      </w:pPr>
      <w:r>
        <w:rPr>
          <w:rFonts w:hint="eastAsia" w:ascii="宋体" w:hAnsi="宋体" w:eastAsia="宋体" w:cs="宋体"/>
        </w:rPr>
        <w:t>响应报价应按照以下原则计价：</w:t>
      </w:r>
    </w:p>
    <w:p w14:paraId="407D168D">
      <w:pPr>
        <w:kinsoku/>
        <w:snapToGrid/>
        <w:ind w:firstLine="482" w:firstLineChars="200"/>
        <w:rPr>
          <w:rFonts w:ascii="宋体" w:hAnsi="宋体" w:eastAsia="宋体" w:cs="宋体"/>
        </w:rPr>
      </w:pPr>
      <w:r>
        <w:rPr>
          <w:rFonts w:hint="eastAsia" w:ascii="宋体" w:hAnsi="宋体" w:eastAsia="宋体" w:cs="宋体"/>
          <w:b/>
        </w:rPr>
        <w:t>1.分部分项工程项目清单费用</w:t>
      </w:r>
    </w:p>
    <w:p w14:paraId="758FD043">
      <w:pPr>
        <w:kinsoku/>
        <w:snapToGrid/>
        <w:ind w:firstLine="480" w:firstLineChars="200"/>
        <w:rPr>
          <w:rFonts w:ascii="宋体" w:hAnsi="宋体" w:eastAsia="宋体" w:cs="宋体"/>
        </w:rPr>
      </w:pPr>
      <w:r>
        <w:rPr>
          <w:rFonts w:hint="eastAsia" w:ascii="宋体" w:hAnsi="宋体" w:eastAsia="宋体" w:cs="宋体"/>
        </w:rPr>
        <w:t>（1）潜在承包人按发包工程量清单填报价格。响应报价采用综合单价计价，潜在承包人应根据综合单价的组成、工程量清单项目特征描述和工程内容确定综合单价。综合单价包括完成工程量清单中一个规定计量单位项目所需的人工费、材料费、机械使用费、企业管理费和利润，并考虑一定的风险因素。综合单价中应包括交易文件中确定的由潜在承包人承担的风险范围及其费用。</w:t>
      </w:r>
    </w:p>
    <w:p w14:paraId="363F7F41">
      <w:pPr>
        <w:kinsoku/>
        <w:snapToGrid/>
        <w:ind w:firstLine="480" w:firstLineChars="200"/>
        <w:rPr>
          <w:rFonts w:ascii="宋体" w:hAnsi="宋体" w:eastAsia="宋体" w:cs="宋体"/>
        </w:rPr>
      </w:pPr>
      <w:r>
        <w:rPr>
          <w:rFonts w:hint="eastAsia" w:ascii="宋体" w:hAnsi="宋体" w:eastAsia="宋体" w:cs="宋体"/>
        </w:rPr>
        <w:t>（2）人工费、材料费、机械使用费、企业管理费和利润的费用所涵盖内容按省级建设行政主管部门颁发的计价依据确定。上级建设行政主管部门颁发的相关计价文件对费用内容组成另有调整的，按其规定执行。</w:t>
      </w:r>
    </w:p>
    <w:p w14:paraId="2A4A569A">
      <w:pPr>
        <w:kinsoku/>
        <w:snapToGrid/>
        <w:ind w:firstLine="480" w:firstLineChars="200"/>
        <w:rPr>
          <w:rFonts w:ascii="宋体" w:hAnsi="宋体" w:eastAsia="宋体" w:cs="宋体"/>
        </w:rPr>
      </w:pPr>
      <w:r>
        <w:rPr>
          <w:rFonts w:hint="eastAsia" w:ascii="宋体" w:hAnsi="宋体" w:eastAsia="宋体" w:cs="宋体"/>
        </w:rPr>
        <w:t>（3）综合单价应包括发包人自行采购材料的价款。交易文件提供暂定价的材料，潜在承包人按暂定的单价计入综合单价。暂定价材料如遇本省计价依据中无相类似的材料时，潜在承包人应该在响应文件报价说明中明确该暂定价材料的损耗率。</w:t>
      </w:r>
    </w:p>
    <w:p w14:paraId="38A7E5D5">
      <w:pPr>
        <w:kinsoku/>
        <w:snapToGrid/>
        <w:ind w:firstLine="480" w:firstLineChars="200"/>
        <w:rPr>
          <w:rFonts w:ascii="宋体" w:hAnsi="宋体" w:eastAsia="宋体" w:cs="宋体"/>
        </w:rPr>
      </w:pPr>
      <w:r>
        <w:rPr>
          <w:rFonts w:hint="eastAsia" w:ascii="宋体" w:hAnsi="宋体" w:eastAsia="宋体" w:cs="宋体"/>
        </w:rPr>
        <w:t>（4）企业管理费、利润的费用计算由潜在承包人自主确定或参照省建设行政主管部门颁发的计价依据计算。</w:t>
      </w:r>
    </w:p>
    <w:p w14:paraId="140C3ED5">
      <w:pPr>
        <w:kinsoku/>
        <w:snapToGrid/>
        <w:ind w:firstLine="480" w:firstLineChars="200"/>
        <w:rPr>
          <w:rFonts w:ascii="宋体" w:hAnsi="宋体" w:eastAsia="宋体" w:cs="宋体"/>
        </w:rPr>
      </w:pPr>
      <w:r>
        <w:rPr>
          <w:rFonts w:hint="eastAsia" w:ascii="宋体" w:hAnsi="宋体" w:eastAsia="宋体" w:cs="宋体"/>
        </w:rPr>
        <w:t>响应报价时，企业管理费中应包括施工企业现场临时宿舍取暖降温等费用，以及施工企业对建筑以及材料、构件和建筑安装物进行一般鉴定、检查所发生的检验试验费等相关费用。为保障工程质量和安全，企业管理费报价不得低于省建设行政主管部门颁发的计价依据和相关取费计价文件规定的对应专业工程企业管理费弹性费率下限乘以20%的计算值。同时，潜在承包人必须对企业管理费中所包含的施工企业的现场临时宿舍取暖降温等费用，在相应的清单明细表中（表2-5）进行单独费用报价分析。</w:t>
      </w:r>
    </w:p>
    <w:p w14:paraId="16A830C9">
      <w:pPr>
        <w:kinsoku/>
        <w:snapToGrid/>
        <w:ind w:firstLine="480" w:firstLineChars="200"/>
        <w:rPr>
          <w:rFonts w:ascii="宋体" w:hAnsi="宋体" w:eastAsia="宋体" w:cs="宋体"/>
        </w:rPr>
      </w:pPr>
      <w:r>
        <w:rPr>
          <w:rFonts w:hint="eastAsia" w:ascii="宋体" w:hAnsi="宋体" w:eastAsia="宋体" w:cs="宋体"/>
        </w:rPr>
        <w:t>施工企业的现场临时宿舍取暖降温等费用，应根据市政府、市建设行政主管部门颁发的有关文件对于现场民工宿舍空调的设置要求或标准、安责险等规定落实相应费用的报价。</w:t>
      </w:r>
    </w:p>
    <w:p w14:paraId="146E0021">
      <w:pPr>
        <w:kinsoku/>
        <w:snapToGrid/>
        <w:ind w:firstLine="480" w:firstLineChars="200"/>
        <w:rPr>
          <w:rFonts w:ascii="宋体" w:hAnsi="宋体" w:eastAsia="宋体" w:cs="宋体"/>
        </w:rPr>
      </w:pPr>
      <w:r>
        <w:rPr>
          <w:rFonts w:hint="eastAsia" w:ascii="宋体" w:hAnsi="宋体" w:eastAsia="宋体" w:cs="宋体"/>
        </w:rPr>
        <w:t>潜在承包</w:t>
      </w:r>
      <w:r>
        <w:rPr>
          <w:rFonts w:hint="eastAsia" w:ascii="宋体" w:hAnsi="宋体" w:eastAsia="宋体" w:cs="宋体"/>
          <w:spacing w:val="-8"/>
        </w:rPr>
        <w:t>人未按上述规定要求报价的，可以评定为废标。</w:t>
      </w:r>
    </w:p>
    <w:p w14:paraId="6AAA9D05">
      <w:pPr>
        <w:kinsoku/>
        <w:snapToGrid/>
        <w:ind w:firstLine="480" w:firstLineChars="200"/>
        <w:rPr>
          <w:rFonts w:ascii="宋体" w:hAnsi="宋体" w:eastAsia="宋体" w:cs="宋体"/>
        </w:rPr>
      </w:pPr>
      <w:r>
        <w:rPr>
          <w:rFonts w:hint="eastAsia" w:ascii="宋体" w:hAnsi="宋体" w:eastAsia="宋体" w:cs="宋体"/>
        </w:rPr>
        <w:t>（5）综合单价中的风险费计算应根据交易文件中所明确的潜在承包人应承担的风险范围和幅度由潜在承包人自主确定。</w:t>
      </w:r>
    </w:p>
    <w:p w14:paraId="6535916D">
      <w:pPr>
        <w:kinsoku/>
        <w:snapToGrid/>
        <w:ind w:firstLine="482" w:firstLineChars="200"/>
        <w:rPr>
          <w:rFonts w:ascii="宋体" w:hAnsi="宋体" w:eastAsia="宋体" w:cs="宋体"/>
          <w:b/>
        </w:rPr>
      </w:pPr>
      <w:r>
        <w:rPr>
          <w:rFonts w:hint="eastAsia" w:ascii="宋体" w:hAnsi="宋体" w:eastAsia="宋体" w:cs="宋体"/>
          <w:b/>
        </w:rPr>
        <w:t>2.措施项目清单费用</w:t>
      </w:r>
    </w:p>
    <w:p w14:paraId="09EEDA9E">
      <w:pPr>
        <w:kinsoku/>
        <w:snapToGrid/>
        <w:ind w:firstLine="480" w:firstLineChars="200"/>
        <w:rPr>
          <w:rFonts w:ascii="宋体" w:hAnsi="宋体" w:eastAsia="宋体" w:cs="宋体"/>
        </w:rPr>
      </w:pPr>
      <w:r>
        <w:rPr>
          <w:rFonts w:hint="eastAsia" w:ascii="宋体" w:hAnsi="宋体" w:eastAsia="宋体" w:cs="宋体"/>
        </w:rPr>
        <w:t>（1）潜在承包人应根据发包人提供的措施项目清单和潜在承包人自行确定的施工组织设计或施工方案填报数量和价格，不发生的措施项目金额以“O”计价。遇有措施项目清单未列项的，潜在承包人可补充措施项目并报价。</w:t>
      </w:r>
    </w:p>
    <w:p w14:paraId="66F37A20">
      <w:pPr>
        <w:kinsoku/>
        <w:snapToGrid/>
        <w:ind w:firstLine="480" w:firstLineChars="200"/>
        <w:rPr>
          <w:rFonts w:ascii="宋体" w:hAnsi="宋体" w:eastAsia="宋体" w:cs="宋体"/>
        </w:rPr>
      </w:pPr>
      <w:r>
        <w:rPr>
          <w:rFonts w:hint="eastAsia" w:ascii="宋体" w:hAnsi="宋体" w:eastAsia="宋体" w:cs="宋体"/>
        </w:rPr>
        <w:t>（2）技术措施项目中的单价项目报价可参照综合单价的组成自主确定或参照省建设行政主管部门发布的消耗量定额、施工费用定额和计算方法计算。</w:t>
      </w:r>
    </w:p>
    <w:p w14:paraId="70578DF7">
      <w:pPr>
        <w:kinsoku/>
        <w:snapToGrid/>
        <w:ind w:firstLine="480" w:firstLineChars="200"/>
        <w:rPr>
          <w:rFonts w:ascii="宋体" w:hAnsi="宋体" w:eastAsia="宋体" w:cs="宋体"/>
        </w:rPr>
      </w:pPr>
      <w:r>
        <w:rPr>
          <w:rFonts w:hint="eastAsia" w:ascii="宋体" w:hAnsi="宋体" w:eastAsia="宋体" w:cs="宋体"/>
        </w:rPr>
        <w:t>（3）措施项目中凡属周转使用的设备、材料，均应按单次使用摊销量报价。</w:t>
      </w:r>
    </w:p>
    <w:p w14:paraId="7A99C35A">
      <w:pPr>
        <w:kinsoku/>
        <w:snapToGrid/>
        <w:ind w:firstLine="480" w:firstLineChars="200"/>
        <w:rPr>
          <w:rFonts w:ascii="宋体" w:hAnsi="宋体" w:eastAsia="宋体" w:cs="宋体"/>
          <w:spacing w:val="-3"/>
        </w:rPr>
      </w:pPr>
      <w:r>
        <w:rPr>
          <w:rFonts w:hint="eastAsia" w:ascii="宋体" w:hAnsi="宋体" w:eastAsia="宋体" w:cs="宋体"/>
        </w:rPr>
        <w:t>（4）潜在承包</w:t>
      </w:r>
      <w:r>
        <w:rPr>
          <w:rFonts w:hint="eastAsia" w:ascii="宋体" w:hAnsi="宋体" w:eastAsia="宋体" w:cs="宋体"/>
          <w:spacing w:val="-3"/>
        </w:rPr>
        <w:t>人应针对拟建工程编制保证安全施工、文明施工、环境保护和临时设施的技术措施方案，并按发包工程量清单中的相应措施清单提供数量和报价。遇有缺项时，潜在承包人可补充措施项目。</w:t>
      </w:r>
    </w:p>
    <w:p w14:paraId="19A61E24">
      <w:pPr>
        <w:kinsoku/>
        <w:snapToGrid/>
        <w:ind w:firstLine="480" w:firstLineChars="200"/>
        <w:rPr>
          <w:rFonts w:ascii="宋体" w:hAnsi="宋体" w:eastAsia="宋体" w:cs="宋体"/>
        </w:rPr>
      </w:pPr>
      <w:r>
        <w:rPr>
          <w:rFonts w:hint="eastAsia" w:ascii="宋体" w:hAnsi="宋体" w:eastAsia="宋体" w:cs="宋体"/>
        </w:rPr>
        <w:t>（5）施工取费费率依照本省现行计价依据的有关规定执行；</w:t>
      </w:r>
    </w:p>
    <w:p w14:paraId="191B9939">
      <w:pPr>
        <w:kinsoku/>
        <w:snapToGrid/>
        <w:ind w:firstLine="480" w:firstLineChars="200"/>
        <w:rPr>
          <w:rFonts w:ascii="宋体" w:hAnsi="宋体" w:eastAsia="宋体" w:cs="宋体"/>
        </w:rPr>
      </w:pPr>
      <w:r>
        <w:rPr>
          <w:rFonts w:hint="eastAsia" w:ascii="宋体" w:hAnsi="宋体" w:eastAsia="宋体" w:cs="宋体"/>
        </w:rPr>
        <w:t>安全文明施工措施项目费用包括安全施工、文明施工、环境保护和临时设施费用，必须充分保证。潜在承包人应结合发包工程的实际，依据发包人提供的安全文明施工措施项目清单及计价表（表1-3-A-1），按项目整体考虑分别报价。</w:t>
      </w:r>
    </w:p>
    <w:p w14:paraId="7BCA509C">
      <w:pPr>
        <w:kinsoku/>
        <w:snapToGrid/>
        <w:rPr>
          <w:rFonts w:ascii="宋体" w:hAnsi="宋体" w:eastAsia="宋体" w:cs="宋体"/>
        </w:rPr>
      </w:pPr>
      <w:r>
        <w:rPr>
          <w:rFonts w:hint="eastAsia" w:ascii="宋体" w:hAnsi="宋体" w:eastAsia="宋体" w:cs="宋体"/>
        </w:rPr>
        <w:t xml:space="preserve">    安全文明施工措施费用报价不得低于建设行政主管部门颁发的取费计价文件规定的弹性费率下限的计算值。潜在承包人未按规定要求报价的，评审小组可以评定为废标；</w:t>
      </w:r>
    </w:p>
    <w:p w14:paraId="510C80DD">
      <w:pPr>
        <w:kinsoku/>
        <w:snapToGrid/>
        <w:rPr>
          <w:rFonts w:ascii="宋体" w:hAnsi="宋体" w:eastAsia="宋体" w:cs="宋体"/>
        </w:rPr>
      </w:pPr>
      <w:r>
        <w:rPr>
          <w:rFonts w:hint="eastAsia" w:ascii="宋体" w:hAnsi="宋体" w:eastAsia="宋体" w:cs="宋体"/>
        </w:rPr>
        <w:t>即：安全文明施工措施费用的报价≥∑[(专业工程分部分项工程量清单中的取费基数值 + 技术措施项目清单中的取费基数值)×对应专业工程基本费下限费率]；</w:t>
      </w:r>
    </w:p>
    <w:p w14:paraId="6ECD0D68">
      <w:pPr>
        <w:kinsoku/>
        <w:snapToGrid/>
        <w:ind w:firstLine="480" w:firstLineChars="200"/>
        <w:rPr>
          <w:rFonts w:ascii="宋体" w:hAnsi="宋体" w:eastAsia="宋体" w:cs="宋体"/>
        </w:rPr>
      </w:pPr>
      <w:r>
        <w:rPr>
          <w:rFonts w:hint="eastAsia" w:ascii="宋体" w:hAnsi="宋体" w:eastAsia="宋体" w:cs="宋体"/>
        </w:rPr>
        <w:t>上级建设主管部门颁发的有关文件对该措施费用内容和费率下限标准有调整的，按其规定执行。</w:t>
      </w:r>
    </w:p>
    <w:p w14:paraId="0363B85A">
      <w:pPr>
        <w:kinsoku/>
        <w:snapToGrid/>
        <w:ind w:firstLine="480" w:firstLineChars="200"/>
        <w:rPr>
          <w:rFonts w:ascii="宋体" w:hAnsi="宋体" w:eastAsia="宋体" w:cs="宋体"/>
        </w:rPr>
      </w:pPr>
      <w:r>
        <w:rPr>
          <w:rFonts w:hint="eastAsia" w:ascii="宋体" w:hAnsi="宋体" w:eastAsia="宋体" w:cs="宋体"/>
        </w:rPr>
        <w:t>报价中的创标化工地增加费应根据交易文件确立的创建等级要求和发包人公布的创标化工地增加费暂定费用金额进行统一填报。交易文件中未明确创标化工地等级要求及创标化工地增加费暂定费用金额的，潜在承包人暂不填报报价；</w:t>
      </w:r>
    </w:p>
    <w:p w14:paraId="1DF0E62A">
      <w:pPr>
        <w:kinsoku/>
        <w:snapToGrid/>
        <w:ind w:firstLine="480" w:firstLineChars="200"/>
        <w:rPr>
          <w:rFonts w:ascii="宋体" w:hAnsi="宋体" w:eastAsia="宋体" w:cs="宋体"/>
        </w:rPr>
      </w:pPr>
      <w:r>
        <w:rPr>
          <w:rFonts w:hint="eastAsia" w:ascii="宋体" w:hAnsi="宋体" w:eastAsia="宋体" w:cs="宋体"/>
        </w:rPr>
        <w:t>上级建设主管部门颁发的有关文件对该措施费用内容和费率下限标准有调整的，按其规定执行。</w:t>
      </w:r>
    </w:p>
    <w:p w14:paraId="4FF51B00">
      <w:pPr>
        <w:kinsoku/>
        <w:snapToGrid/>
        <w:ind w:firstLine="480" w:firstLineChars="200"/>
        <w:rPr>
          <w:rFonts w:ascii="宋体" w:hAnsi="宋体" w:eastAsia="宋体" w:cs="宋体"/>
        </w:rPr>
      </w:pPr>
      <w:r>
        <w:rPr>
          <w:rFonts w:hint="eastAsia" w:ascii="宋体" w:hAnsi="宋体" w:eastAsia="宋体" w:cs="宋体"/>
        </w:rPr>
        <w:t xml:space="preserve">潜在承包人未按上述规定要求报价的，可评定为废标。 </w:t>
      </w:r>
    </w:p>
    <w:p w14:paraId="741BBBCB">
      <w:pPr>
        <w:kinsoku/>
        <w:snapToGrid/>
        <w:ind w:firstLine="480" w:firstLineChars="200"/>
        <w:rPr>
          <w:rFonts w:ascii="宋体" w:hAnsi="宋体" w:eastAsia="宋体" w:cs="宋体"/>
        </w:rPr>
      </w:pPr>
      <w:r>
        <w:rPr>
          <w:rFonts w:hint="eastAsia" w:ascii="宋体" w:hAnsi="宋体" w:eastAsia="宋体" w:cs="宋体"/>
        </w:rPr>
        <w:t>安全文明施工措施费不得挪作他用。工程实施过程中应根据响应文件的承诺和合同约定，经监理单位审查认可后由建设单位足额支付。</w:t>
      </w:r>
    </w:p>
    <w:p w14:paraId="6EB0D2D3">
      <w:pPr>
        <w:kinsoku/>
        <w:snapToGrid/>
        <w:ind w:firstLine="480" w:firstLineChars="200"/>
        <w:rPr>
          <w:rFonts w:ascii="宋体" w:hAnsi="宋体" w:eastAsia="宋体" w:cs="宋体"/>
        </w:rPr>
      </w:pPr>
      <w:r>
        <w:rPr>
          <w:rFonts w:hint="eastAsia" w:ascii="宋体" w:hAnsi="宋体" w:eastAsia="宋体" w:cs="宋体"/>
        </w:rPr>
        <w:t>（6）潜在承包人措施项目各分项之间不得重复报价。</w:t>
      </w:r>
    </w:p>
    <w:p w14:paraId="7A2C0765">
      <w:pPr>
        <w:kinsoku/>
        <w:snapToGrid/>
        <w:ind w:firstLine="482" w:firstLineChars="200"/>
        <w:rPr>
          <w:rFonts w:ascii="宋体" w:hAnsi="宋体" w:eastAsia="宋体" w:cs="宋体"/>
          <w:b/>
          <w:bCs/>
        </w:rPr>
      </w:pPr>
      <w:r>
        <w:rPr>
          <w:rFonts w:hint="eastAsia" w:ascii="宋体" w:hAnsi="宋体" w:eastAsia="宋体" w:cs="宋体"/>
          <w:b/>
          <w:bCs/>
        </w:rPr>
        <w:t>3.其他项目清单费用</w:t>
      </w:r>
    </w:p>
    <w:p w14:paraId="11D8054F">
      <w:pPr>
        <w:kinsoku/>
        <w:snapToGrid/>
        <w:ind w:firstLine="480" w:firstLineChars="200"/>
        <w:rPr>
          <w:rFonts w:ascii="宋体" w:hAnsi="宋体" w:eastAsia="宋体" w:cs="宋体"/>
        </w:rPr>
      </w:pPr>
      <w:r>
        <w:rPr>
          <w:rFonts w:hint="eastAsia" w:ascii="宋体" w:hAnsi="宋体" w:eastAsia="宋体" w:cs="宋体"/>
        </w:rPr>
        <w:t>（1）暂列金额，潜在承包人按发包工程量清单确定的金额填报；总承包服务费，潜在承包人按发包工程量清单确定的项目内容和要求自主确定费率并报价；计日工费，潜在承包人按发包工程量清单列出的项目内容和数量自主确定综合单价并计算报价。发包人对计日工费内容和数量未作要求的，潜在承包人不需要作出报价。</w:t>
      </w:r>
    </w:p>
    <w:p w14:paraId="0B9B7F95">
      <w:pPr>
        <w:kinsoku/>
        <w:snapToGrid/>
        <w:ind w:firstLine="480" w:firstLineChars="200"/>
        <w:rPr>
          <w:rFonts w:ascii="宋体" w:hAnsi="宋体" w:eastAsia="宋体" w:cs="宋体"/>
        </w:rPr>
      </w:pPr>
      <w:r>
        <w:rPr>
          <w:rFonts w:hint="eastAsia" w:ascii="宋体" w:hAnsi="宋体" w:eastAsia="宋体" w:cs="宋体"/>
        </w:rPr>
        <w:t>（2）其他项目清单中的暂列金额和计日工，均为发包人估算、预测数量，潜在承包人计入响应报价中，竣工结算时应按承包人实际完成的工程内容结算。</w:t>
      </w:r>
    </w:p>
    <w:p w14:paraId="55B0AEED">
      <w:pPr>
        <w:kinsoku/>
        <w:snapToGrid/>
        <w:ind w:firstLine="482" w:firstLineChars="200"/>
        <w:rPr>
          <w:rFonts w:ascii="宋体" w:hAnsi="宋体" w:eastAsia="宋体" w:cs="宋体"/>
          <w:b/>
        </w:rPr>
      </w:pPr>
      <w:r>
        <w:rPr>
          <w:rFonts w:hint="eastAsia" w:ascii="宋体" w:hAnsi="宋体" w:eastAsia="宋体" w:cs="宋体"/>
          <w:b/>
        </w:rPr>
        <w:t>4.规费、税金</w:t>
      </w:r>
    </w:p>
    <w:p w14:paraId="16E25013">
      <w:pPr>
        <w:kinsoku/>
        <w:snapToGrid/>
        <w:ind w:firstLine="480" w:firstLineChars="200"/>
        <w:rPr>
          <w:rFonts w:ascii="宋体" w:hAnsi="宋体" w:eastAsia="宋体" w:cs="宋体"/>
        </w:rPr>
      </w:pPr>
      <w:r>
        <w:rPr>
          <w:rFonts w:hint="eastAsia" w:ascii="宋体" w:hAnsi="宋体" w:eastAsia="宋体" w:cs="宋体"/>
        </w:rPr>
        <w:t>规费、税金按省建设行政主管部门颁发的施工费用定额的内容和计费标准计算报价。省、市政府及有关权力部门颁发的政策性文件对规费、税金的内容和计费标准有调整的，按其规定执行。规费费率低于现行标准费率30%的作废标处理；税金作为不可竞争费用，费率低于现行规定的作废标处理。</w:t>
      </w:r>
    </w:p>
    <w:p w14:paraId="0DCC5E9C">
      <w:pPr>
        <w:numPr>
          <w:ilvl w:val="0"/>
          <w:numId w:val="10"/>
        </w:numPr>
        <w:kinsoku/>
        <w:snapToGrid/>
        <w:rPr>
          <w:rFonts w:ascii="宋体" w:hAnsi="宋体" w:eastAsia="宋体" w:cs="宋体"/>
        </w:rPr>
      </w:pPr>
      <w:r>
        <w:rPr>
          <w:rFonts w:hint="eastAsia" w:ascii="宋体" w:hAnsi="宋体" w:eastAsia="宋体" w:cs="宋体"/>
        </w:rPr>
        <w:t>发包工程量清单中标明的工程量是潜在承包人响应报价的共同基础，潜在承包人不得擅自修改发包工程量清单的分部分项工程项目清单内容。</w:t>
      </w:r>
    </w:p>
    <w:p w14:paraId="6C8A2C2D">
      <w:pPr>
        <w:kinsoku/>
        <w:snapToGrid/>
        <w:ind w:firstLine="480" w:firstLineChars="200"/>
        <w:rPr>
          <w:rFonts w:ascii="宋体" w:hAnsi="宋体" w:eastAsia="宋体" w:cs="宋体"/>
        </w:rPr>
      </w:pPr>
      <w:r>
        <w:rPr>
          <w:rFonts w:hint="eastAsia" w:ascii="宋体" w:hAnsi="宋体" w:eastAsia="宋体" w:cs="宋体"/>
        </w:rPr>
        <w:t>工程量清单报价应与工、料、机报价及对应的报价分析相符，与拟建工程的施工组织设计或施工方案相符。</w:t>
      </w:r>
    </w:p>
    <w:p w14:paraId="232C21DB">
      <w:pPr>
        <w:kinsoku/>
        <w:snapToGrid/>
        <w:ind w:firstLine="480" w:firstLineChars="200"/>
        <w:rPr>
          <w:rFonts w:ascii="宋体" w:hAnsi="宋体" w:eastAsia="宋体" w:cs="宋体"/>
        </w:rPr>
      </w:pPr>
      <w:r>
        <w:rPr>
          <w:rFonts w:hint="eastAsia" w:ascii="宋体" w:hAnsi="宋体" w:eastAsia="宋体" w:cs="宋体"/>
        </w:rPr>
        <w:t>潜在承包人</w:t>
      </w:r>
      <w:r>
        <w:rPr>
          <w:rFonts w:hint="eastAsia" w:ascii="宋体" w:hAnsi="宋体" w:eastAsia="宋体" w:cs="宋体"/>
          <w:spacing w:val="-3"/>
        </w:rPr>
        <w:t>应根据自己的企业定额或参照省建设行政主管部门颁发的消耗量定额向发包人提供具体的报价计算分析，其各项报价分析表与工程量清单计价表之间的金额（价格）应前后对应一致。</w:t>
      </w:r>
    </w:p>
    <w:p w14:paraId="0564A81E">
      <w:pPr>
        <w:numPr>
          <w:ilvl w:val="0"/>
          <w:numId w:val="10"/>
        </w:numPr>
        <w:kinsoku/>
        <w:snapToGrid/>
        <w:rPr>
          <w:rFonts w:ascii="宋体" w:hAnsi="宋体" w:eastAsia="宋体" w:cs="宋体"/>
        </w:rPr>
      </w:pPr>
      <w:r>
        <w:rPr>
          <w:rFonts w:hint="eastAsia" w:ascii="宋体" w:hAnsi="宋体" w:eastAsia="宋体" w:cs="宋体"/>
        </w:rPr>
        <w:t>除《杭州市建设工程工程量清单计价实施细则（2018年修订）》另有规定外，潜在承包人对措施项目清单中不发生的项目，其费用报价允许潜在承包人根据实际情况报“0”，但须与施工组织设计或施工方案对应并提供充分的说明和依据。</w:t>
      </w:r>
    </w:p>
    <w:p w14:paraId="6331FEBB">
      <w:pPr>
        <w:numPr>
          <w:ilvl w:val="0"/>
          <w:numId w:val="10"/>
        </w:numPr>
        <w:kinsoku/>
        <w:snapToGrid/>
        <w:rPr>
          <w:rFonts w:ascii="宋体" w:hAnsi="宋体" w:eastAsia="宋体" w:cs="宋体"/>
        </w:rPr>
      </w:pPr>
      <w:r>
        <w:rPr>
          <w:rFonts w:hint="eastAsia" w:ascii="宋体" w:hAnsi="宋体" w:eastAsia="宋体" w:cs="宋体"/>
        </w:rPr>
        <w:t>清单报价中的任何算术性错误，发包人按下列原则予以调整：</w:t>
      </w:r>
    </w:p>
    <w:p w14:paraId="1808AAD6">
      <w:pPr>
        <w:kinsoku/>
        <w:snapToGrid/>
        <w:ind w:firstLine="480" w:firstLineChars="200"/>
        <w:rPr>
          <w:rFonts w:ascii="宋体" w:hAnsi="宋体" w:eastAsia="宋体" w:cs="宋体"/>
        </w:rPr>
      </w:pPr>
      <w:r>
        <w:rPr>
          <w:rFonts w:hint="eastAsia" w:ascii="宋体" w:hAnsi="宋体" w:eastAsia="宋体" w:cs="宋体"/>
        </w:rPr>
        <w:t>1.大写金额和小写金额不一致，以大写金额为准；</w:t>
      </w:r>
    </w:p>
    <w:p w14:paraId="15202DE9">
      <w:pPr>
        <w:kinsoku/>
        <w:snapToGrid/>
        <w:ind w:firstLine="480" w:firstLineChars="200"/>
        <w:rPr>
          <w:rFonts w:ascii="宋体" w:hAnsi="宋体" w:eastAsia="宋体" w:cs="宋体"/>
        </w:rPr>
      </w:pPr>
      <w:r>
        <w:rPr>
          <w:rFonts w:hint="eastAsia" w:ascii="宋体" w:hAnsi="宋体" w:eastAsia="宋体" w:cs="宋体"/>
        </w:rPr>
        <w:t>2.合价金额与单价金额和工程量的乘积不一致的，以单价金额为准，但单价金额有明显错误的除外；</w:t>
      </w:r>
    </w:p>
    <w:p w14:paraId="28A4D120">
      <w:pPr>
        <w:kinsoku/>
        <w:snapToGrid/>
        <w:ind w:firstLine="480" w:firstLineChars="200"/>
        <w:rPr>
          <w:rFonts w:ascii="宋体" w:hAnsi="宋体" w:eastAsia="宋体" w:cs="宋体"/>
        </w:rPr>
      </w:pPr>
      <w:r>
        <w:rPr>
          <w:rFonts w:hint="eastAsia" w:ascii="宋体" w:hAnsi="宋体" w:eastAsia="宋体" w:cs="宋体"/>
        </w:rPr>
        <w:t>3.合价累计金额与小计（合计）金额不一致的，以合价累计金额为准，并修改小计（合计）金额及总报价。</w:t>
      </w:r>
    </w:p>
    <w:p w14:paraId="0AD14D0E">
      <w:pPr>
        <w:numPr>
          <w:ilvl w:val="0"/>
          <w:numId w:val="10"/>
        </w:numPr>
        <w:kinsoku/>
        <w:snapToGrid/>
        <w:rPr>
          <w:rFonts w:ascii="宋体" w:hAnsi="宋体" w:eastAsia="宋体" w:cs="宋体"/>
        </w:rPr>
      </w:pPr>
      <w:r>
        <w:rPr>
          <w:rFonts w:hint="eastAsia" w:ascii="宋体" w:hAnsi="宋体" w:eastAsia="宋体" w:cs="宋体"/>
        </w:rPr>
        <w:t>按照《杭州市人民政府办公厅关于印发杭州市建设工程推广应用预拌砂浆管理办法的通知》（杭政办函〔2011〕32号文件）的要求使用预拌砂浆，潜在承包人应将使用预拌砂浆的费用计入响应报价范围。</w:t>
      </w:r>
    </w:p>
    <w:p w14:paraId="67C7B0C5">
      <w:pPr>
        <w:kinsoku/>
        <w:snapToGrid/>
        <w:ind w:firstLine="480" w:firstLineChars="200"/>
        <w:rPr>
          <w:rFonts w:ascii="宋体" w:hAnsi="宋体" w:eastAsia="宋体" w:cs="宋体"/>
        </w:rPr>
      </w:pPr>
    </w:p>
    <w:p w14:paraId="42C06DDF">
      <w:pPr>
        <w:kinsoku/>
        <w:snapToGrid/>
        <w:ind w:firstLine="480" w:firstLineChars="200"/>
        <w:rPr>
          <w:rFonts w:ascii="宋体" w:hAnsi="宋体" w:eastAsia="宋体" w:cs="宋体"/>
        </w:rPr>
      </w:pPr>
      <w:r>
        <w:rPr>
          <w:rFonts w:hint="eastAsia" w:ascii="宋体" w:hAnsi="宋体" w:eastAsia="宋体" w:cs="宋体"/>
        </w:rPr>
        <w:t>附：</w:t>
      </w:r>
    </w:p>
    <w:p w14:paraId="7D468705">
      <w:pPr>
        <w:kinsoku/>
        <w:snapToGrid/>
        <w:ind w:firstLine="480" w:firstLineChars="200"/>
        <w:rPr>
          <w:rFonts w:ascii="宋体" w:hAnsi="宋体" w:eastAsia="宋体" w:cs="宋体"/>
        </w:rPr>
      </w:pPr>
      <w:r>
        <w:rPr>
          <w:rFonts w:hint="eastAsia" w:ascii="宋体" w:hAnsi="宋体" w:eastAsia="宋体" w:cs="宋体"/>
        </w:rPr>
        <w:t>工程量清单及计价采用的表格格式如下（具体可参照杭州市示范文本）：</w:t>
      </w:r>
    </w:p>
    <w:p w14:paraId="5A31FF55">
      <w:pPr>
        <w:kinsoku/>
        <w:snapToGrid/>
        <w:ind w:firstLine="460" w:firstLineChars="192"/>
        <w:rPr>
          <w:rFonts w:ascii="宋体" w:hAnsi="宋体" w:eastAsia="宋体" w:cs="宋体"/>
        </w:rPr>
      </w:pPr>
      <w:r>
        <w:rPr>
          <w:rFonts w:hint="eastAsia" w:ascii="宋体" w:hAnsi="宋体" w:eastAsia="宋体" w:cs="宋体"/>
        </w:rPr>
        <w:t xml:space="preserve">1.工程量清单及计价表： </w:t>
      </w:r>
    </w:p>
    <w:p w14:paraId="0ED44E58">
      <w:pPr>
        <w:kinsoku/>
        <w:snapToGrid/>
        <w:ind w:firstLine="460" w:firstLineChars="192"/>
        <w:rPr>
          <w:rFonts w:ascii="宋体" w:hAnsi="宋体" w:eastAsia="宋体" w:cs="宋体"/>
        </w:rPr>
      </w:pPr>
      <w:r>
        <w:rPr>
          <w:rFonts w:hint="eastAsia" w:ascii="宋体" w:hAnsi="宋体" w:eastAsia="宋体" w:cs="宋体"/>
        </w:rPr>
        <w:t>（1）报价总价封面（已标价工程量清单）</w:t>
      </w:r>
    </w:p>
    <w:p w14:paraId="534F2CDD">
      <w:pPr>
        <w:kinsoku/>
        <w:snapToGrid/>
        <w:ind w:firstLine="460" w:firstLineChars="192"/>
        <w:rPr>
          <w:rFonts w:ascii="宋体" w:hAnsi="宋体" w:eastAsia="宋体" w:cs="宋体"/>
        </w:rPr>
      </w:pPr>
      <w:r>
        <w:rPr>
          <w:rFonts w:hint="eastAsia" w:ascii="宋体" w:hAnsi="宋体" w:eastAsia="宋体" w:cs="宋体"/>
        </w:rPr>
        <w:t>（2）工程量清单报价说明</w:t>
      </w:r>
    </w:p>
    <w:p w14:paraId="2B604556">
      <w:pPr>
        <w:kinsoku/>
        <w:snapToGrid/>
        <w:ind w:firstLine="460" w:firstLineChars="192"/>
        <w:rPr>
          <w:rFonts w:ascii="宋体" w:hAnsi="宋体" w:eastAsia="宋体" w:cs="宋体"/>
        </w:rPr>
      </w:pPr>
      <w:r>
        <w:rPr>
          <w:rFonts w:hint="eastAsia" w:ascii="宋体" w:hAnsi="宋体" w:eastAsia="宋体" w:cs="宋体"/>
        </w:rPr>
        <w:t>（3）表1-1-1 工程项目报价汇总表</w:t>
      </w:r>
    </w:p>
    <w:p w14:paraId="112A2B8F">
      <w:pPr>
        <w:kinsoku/>
        <w:snapToGrid/>
        <w:ind w:firstLine="460" w:firstLineChars="192"/>
        <w:rPr>
          <w:rFonts w:ascii="宋体" w:hAnsi="宋体" w:eastAsia="宋体" w:cs="宋体"/>
        </w:rPr>
      </w:pPr>
      <w:r>
        <w:rPr>
          <w:rFonts w:hint="eastAsia" w:ascii="宋体" w:hAnsi="宋体" w:eastAsia="宋体" w:cs="宋体"/>
        </w:rPr>
        <w:t>（4）表1-1-2 单位工程报价汇总表</w:t>
      </w:r>
    </w:p>
    <w:p w14:paraId="76DB2761">
      <w:pPr>
        <w:kinsoku/>
        <w:snapToGrid/>
        <w:ind w:firstLine="460" w:firstLineChars="192"/>
        <w:rPr>
          <w:rFonts w:ascii="宋体" w:hAnsi="宋体" w:eastAsia="宋体" w:cs="宋体"/>
        </w:rPr>
      </w:pPr>
      <w:r>
        <w:rPr>
          <w:rFonts w:hint="eastAsia" w:ascii="宋体" w:hAnsi="宋体" w:eastAsia="宋体" w:cs="宋体"/>
        </w:rPr>
        <w:t>（5）表1-2 分部分项工程项目清单及计价表</w:t>
      </w:r>
    </w:p>
    <w:p w14:paraId="0FF317DD">
      <w:pPr>
        <w:kinsoku/>
        <w:snapToGrid/>
        <w:ind w:firstLine="460" w:firstLineChars="192"/>
        <w:rPr>
          <w:rFonts w:ascii="宋体" w:hAnsi="宋体" w:eastAsia="宋体" w:cs="宋体"/>
        </w:rPr>
      </w:pPr>
      <w:r>
        <w:rPr>
          <w:rFonts w:hint="eastAsia" w:ascii="宋体" w:hAnsi="宋体" w:eastAsia="宋体" w:cs="宋体"/>
        </w:rPr>
        <w:t>（6）表1-3-A 组织措施项目（整体）清单及计价表</w:t>
      </w:r>
    </w:p>
    <w:p w14:paraId="2129F64F">
      <w:pPr>
        <w:kinsoku/>
        <w:snapToGrid/>
        <w:ind w:firstLine="460" w:firstLineChars="192"/>
        <w:rPr>
          <w:rFonts w:ascii="宋体" w:hAnsi="宋体" w:eastAsia="宋体" w:cs="宋体"/>
        </w:rPr>
      </w:pPr>
      <w:r>
        <w:rPr>
          <w:rFonts w:hint="eastAsia" w:ascii="宋体" w:hAnsi="宋体" w:eastAsia="宋体" w:cs="宋体"/>
        </w:rPr>
        <w:t>（7）表1-3-B 组织措施项目（专业工程）清单及计价表</w:t>
      </w:r>
    </w:p>
    <w:p w14:paraId="3A12C4F6">
      <w:pPr>
        <w:kinsoku/>
        <w:snapToGrid/>
        <w:ind w:firstLine="460" w:firstLineChars="192"/>
        <w:rPr>
          <w:rFonts w:ascii="宋体" w:hAnsi="宋体" w:eastAsia="宋体" w:cs="宋体"/>
        </w:rPr>
      </w:pPr>
      <w:r>
        <w:rPr>
          <w:rFonts w:hint="eastAsia" w:ascii="宋体" w:hAnsi="宋体" w:eastAsia="宋体" w:cs="宋体"/>
        </w:rPr>
        <w:t>（8）表1-3-C 技术措施项目清单及计价表</w:t>
      </w:r>
    </w:p>
    <w:p w14:paraId="37E311B6">
      <w:pPr>
        <w:kinsoku/>
        <w:snapToGrid/>
        <w:ind w:firstLine="460" w:firstLineChars="192"/>
        <w:rPr>
          <w:rFonts w:ascii="宋体" w:hAnsi="宋体" w:eastAsia="宋体" w:cs="宋体"/>
        </w:rPr>
      </w:pPr>
      <w:r>
        <w:rPr>
          <w:rFonts w:hint="eastAsia" w:ascii="宋体" w:hAnsi="宋体" w:eastAsia="宋体" w:cs="宋体"/>
        </w:rPr>
        <w:t>（9）表1-3-A-1 安全文明施工措施项目清单及计价表</w:t>
      </w:r>
    </w:p>
    <w:p w14:paraId="7911EF8C">
      <w:pPr>
        <w:kinsoku/>
        <w:snapToGrid/>
        <w:ind w:firstLine="460" w:firstLineChars="192"/>
        <w:rPr>
          <w:rFonts w:ascii="宋体" w:hAnsi="宋体" w:eastAsia="宋体" w:cs="宋体"/>
        </w:rPr>
      </w:pPr>
      <w:r>
        <w:rPr>
          <w:rFonts w:hint="eastAsia" w:ascii="宋体" w:hAnsi="宋体" w:eastAsia="宋体" w:cs="宋体"/>
        </w:rPr>
        <w:t>（10）表1-4 其他项目清单及计价表</w:t>
      </w:r>
    </w:p>
    <w:p w14:paraId="47E279AE">
      <w:pPr>
        <w:kinsoku/>
        <w:snapToGrid/>
        <w:ind w:firstLine="460" w:firstLineChars="192"/>
        <w:rPr>
          <w:rFonts w:ascii="宋体" w:hAnsi="宋体" w:eastAsia="宋体" w:cs="宋体"/>
        </w:rPr>
      </w:pPr>
      <w:r>
        <w:rPr>
          <w:rFonts w:hint="eastAsia" w:ascii="宋体" w:hAnsi="宋体" w:eastAsia="宋体" w:cs="宋体"/>
        </w:rPr>
        <w:t>（11）表1-4-1 计日工表</w:t>
      </w:r>
    </w:p>
    <w:p w14:paraId="38026BA5">
      <w:pPr>
        <w:kinsoku/>
        <w:snapToGrid/>
        <w:ind w:firstLine="460" w:firstLineChars="192"/>
        <w:rPr>
          <w:rFonts w:ascii="宋体" w:hAnsi="宋体" w:eastAsia="宋体" w:cs="宋体"/>
        </w:rPr>
      </w:pPr>
      <w:r>
        <w:rPr>
          <w:rFonts w:hint="eastAsia" w:ascii="宋体" w:hAnsi="宋体" w:eastAsia="宋体" w:cs="宋体"/>
        </w:rPr>
        <w:t>（12）表1-4-2 总承包服务费项目及计价表</w:t>
      </w:r>
    </w:p>
    <w:p w14:paraId="5FB92781">
      <w:pPr>
        <w:kinsoku/>
        <w:snapToGrid/>
        <w:ind w:firstLine="460" w:firstLineChars="192"/>
        <w:rPr>
          <w:rFonts w:ascii="宋体" w:hAnsi="宋体" w:eastAsia="宋体" w:cs="宋体"/>
        </w:rPr>
      </w:pPr>
      <w:r>
        <w:rPr>
          <w:rFonts w:hint="eastAsia" w:ascii="宋体" w:hAnsi="宋体" w:eastAsia="宋体" w:cs="宋体"/>
        </w:rPr>
        <w:t>（13）表1-5 主要工日价格表</w:t>
      </w:r>
    </w:p>
    <w:p w14:paraId="4B78F575">
      <w:pPr>
        <w:kinsoku/>
        <w:snapToGrid/>
        <w:ind w:firstLine="460" w:firstLineChars="192"/>
        <w:rPr>
          <w:rFonts w:ascii="宋体" w:hAnsi="宋体" w:eastAsia="宋体" w:cs="宋体"/>
        </w:rPr>
      </w:pPr>
      <w:r>
        <w:rPr>
          <w:rFonts w:hint="eastAsia" w:ascii="宋体" w:hAnsi="宋体" w:eastAsia="宋体" w:cs="宋体"/>
        </w:rPr>
        <w:t>（14）表1-6 主要材料价格表</w:t>
      </w:r>
    </w:p>
    <w:p w14:paraId="5B77227F">
      <w:pPr>
        <w:tabs>
          <w:tab w:val="center" w:pos="4755"/>
          <w:tab w:val="right" w:pos="9070"/>
        </w:tabs>
        <w:kinsoku/>
        <w:snapToGrid/>
        <w:ind w:firstLine="480" w:firstLineChars="200"/>
        <w:rPr>
          <w:rFonts w:ascii="宋体" w:hAnsi="宋体" w:eastAsia="宋体" w:cs="宋体"/>
        </w:rPr>
      </w:pPr>
      <w:r>
        <w:rPr>
          <w:rFonts w:hint="eastAsia" w:ascii="宋体" w:hAnsi="宋体" w:eastAsia="宋体" w:cs="宋体"/>
        </w:rPr>
        <w:t>（15）表1-7 主要机械台班价格表</w:t>
      </w:r>
    </w:p>
    <w:p w14:paraId="15F804FB">
      <w:pPr>
        <w:tabs>
          <w:tab w:val="center" w:pos="4755"/>
          <w:tab w:val="right" w:pos="9070"/>
        </w:tabs>
        <w:kinsoku/>
        <w:snapToGrid/>
        <w:ind w:firstLine="240" w:firstLineChars="100"/>
        <w:rPr>
          <w:rFonts w:ascii="宋体" w:hAnsi="宋体" w:eastAsia="宋体" w:cs="宋体"/>
        </w:rPr>
      </w:pPr>
      <w:r>
        <w:rPr>
          <w:rFonts w:hint="eastAsia" w:ascii="宋体" w:hAnsi="宋体" w:eastAsia="宋体" w:cs="宋体"/>
        </w:rPr>
        <w:t xml:space="preserve">2.工程量清单报价分析表： </w:t>
      </w:r>
    </w:p>
    <w:p w14:paraId="2398EDD1">
      <w:pPr>
        <w:tabs>
          <w:tab w:val="center" w:pos="4755"/>
          <w:tab w:val="right" w:pos="9070"/>
        </w:tabs>
        <w:kinsoku/>
        <w:snapToGrid/>
        <w:ind w:firstLine="480" w:firstLineChars="200"/>
        <w:rPr>
          <w:rFonts w:ascii="宋体" w:hAnsi="宋体" w:eastAsia="宋体" w:cs="宋体"/>
        </w:rPr>
      </w:pPr>
      <w:r>
        <w:rPr>
          <w:rFonts w:hint="eastAsia" w:ascii="宋体" w:hAnsi="宋体" w:eastAsia="宋体" w:cs="宋体"/>
        </w:rPr>
        <w:t>（1） 表2-1  分部分项工程项目清单综合单价分析表</w:t>
      </w:r>
    </w:p>
    <w:p w14:paraId="22A14EF7">
      <w:pPr>
        <w:tabs>
          <w:tab w:val="center" w:pos="4755"/>
          <w:tab w:val="right" w:pos="9070"/>
        </w:tabs>
        <w:kinsoku/>
        <w:snapToGrid/>
        <w:ind w:firstLine="480" w:firstLineChars="200"/>
        <w:rPr>
          <w:rFonts w:ascii="宋体" w:hAnsi="宋体" w:eastAsia="宋体" w:cs="宋体"/>
        </w:rPr>
      </w:pPr>
      <w:r>
        <w:rPr>
          <w:rFonts w:hint="eastAsia" w:ascii="宋体" w:hAnsi="宋体" w:eastAsia="宋体" w:cs="宋体"/>
        </w:rPr>
        <w:t>（2） 表2-2  措施项目清单分析表</w:t>
      </w:r>
    </w:p>
    <w:p w14:paraId="58AEE453">
      <w:pPr>
        <w:kinsoku/>
        <w:snapToGrid/>
        <w:ind w:firstLine="480" w:firstLineChars="200"/>
        <w:rPr>
          <w:rFonts w:ascii="宋体" w:hAnsi="宋体" w:eastAsia="宋体" w:cs="宋体"/>
        </w:rPr>
      </w:pPr>
      <w:r>
        <w:rPr>
          <w:rFonts w:hint="eastAsia" w:ascii="宋体" w:hAnsi="宋体" w:eastAsia="宋体" w:cs="宋体"/>
        </w:rPr>
        <w:t>（3） 表2-3  综合单价工料机分析表</w:t>
      </w:r>
    </w:p>
    <w:p w14:paraId="09DF3956">
      <w:pPr>
        <w:kinsoku/>
        <w:snapToGrid/>
        <w:ind w:firstLine="480" w:firstLineChars="200"/>
        <w:rPr>
          <w:rFonts w:ascii="宋体" w:hAnsi="宋体" w:eastAsia="宋体" w:cs="宋体"/>
        </w:rPr>
      </w:pPr>
      <w:r>
        <w:rPr>
          <w:rFonts w:hint="eastAsia" w:ascii="宋体" w:hAnsi="宋体" w:eastAsia="宋体" w:cs="宋体"/>
        </w:rPr>
        <w:t>（4） 表2-4  措施项目工料机分析表</w:t>
      </w:r>
    </w:p>
    <w:p w14:paraId="44304F17">
      <w:pPr>
        <w:tabs>
          <w:tab w:val="left" w:pos="0"/>
          <w:tab w:val="left" w:pos="1080"/>
        </w:tabs>
        <w:kinsoku/>
        <w:snapToGrid/>
        <w:ind w:firstLine="480" w:firstLineChars="200"/>
        <w:rPr>
          <w:rFonts w:ascii="宋体" w:hAnsi="宋体" w:eastAsia="宋体" w:cs="宋体"/>
        </w:rPr>
      </w:pPr>
      <w:r>
        <w:rPr>
          <w:rFonts w:hint="eastAsia" w:ascii="宋体" w:hAnsi="宋体" w:eastAsia="宋体" w:cs="宋体"/>
        </w:rPr>
        <w:t>（5） 表2-5  临时宿舍取暖降温等费用分析表</w:t>
      </w:r>
    </w:p>
    <w:p w14:paraId="17D6186A">
      <w:pPr>
        <w:tabs>
          <w:tab w:val="center" w:pos="4755"/>
          <w:tab w:val="right" w:pos="9070"/>
        </w:tabs>
        <w:kinsoku/>
        <w:snapToGrid/>
        <w:ind w:firstLine="240" w:firstLineChars="100"/>
        <w:rPr>
          <w:rFonts w:ascii="宋体" w:hAnsi="宋体" w:eastAsia="宋体" w:cs="宋体"/>
        </w:rPr>
      </w:pPr>
      <w:r>
        <w:rPr>
          <w:rFonts w:hint="eastAsia" w:ascii="宋体" w:hAnsi="宋体" w:eastAsia="宋体" w:cs="宋体"/>
        </w:rPr>
        <w:t>3.根据发包人工程量清单编制要求填报具体的表格。</w:t>
      </w:r>
    </w:p>
    <w:p w14:paraId="37C42833">
      <w:pPr>
        <w:kinsoku/>
        <w:topLinePunct/>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br w:type="page"/>
      </w:r>
    </w:p>
    <w:p w14:paraId="2D16D179">
      <w:pPr>
        <w:kinsoku/>
        <w:topLinePunct/>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pPr>
    </w:p>
    <w:p w14:paraId="08E73FAD">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拟分包项目名称和分包商情况</w:t>
      </w:r>
    </w:p>
    <w:tbl>
      <w:tblPr>
        <w:tblStyle w:val="29"/>
        <w:tblW w:w="8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1279"/>
        <w:gridCol w:w="1658"/>
        <w:gridCol w:w="1488"/>
        <w:gridCol w:w="659"/>
        <w:gridCol w:w="799"/>
        <w:gridCol w:w="1483"/>
      </w:tblGrid>
      <w:tr w14:paraId="18828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1474" w:type="dxa"/>
          </w:tcPr>
          <w:p w14:paraId="56C3DF2D">
            <w:pPr>
              <w:pStyle w:val="39"/>
              <w:spacing w:before="275" w:line="220" w:lineRule="auto"/>
              <w:ind w:left="125"/>
              <w:rPr>
                <w:rFonts w:ascii="Times New Roman" w:hAnsi="Times New Roman" w:cs="Times New Roman"/>
                <w:color w:val="auto"/>
                <w:sz w:val="24"/>
                <w:szCs w:val="24"/>
              </w:rPr>
            </w:pPr>
            <w:r>
              <w:rPr>
                <w:rFonts w:ascii="Times New Roman" w:hAnsi="Times New Roman" w:cs="Times New Roman"/>
                <w:color w:val="auto"/>
                <w:spacing w:val="2"/>
                <w:sz w:val="24"/>
                <w:szCs w:val="24"/>
              </w:rPr>
              <w:t>分包人名称</w:t>
            </w:r>
          </w:p>
        </w:tc>
        <w:tc>
          <w:tcPr>
            <w:tcW w:w="2937" w:type="dxa"/>
            <w:gridSpan w:val="2"/>
          </w:tcPr>
          <w:p w14:paraId="661071B4">
            <w:pPr>
              <w:rPr>
                <w:rFonts w:ascii="Times New Roman" w:hAnsi="Times New Roman" w:cs="Times New Roman"/>
                <w:color w:val="auto"/>
                <w:sz w:val="21"/>
              </w:rPr>
            </w:pPr>
          </w:p>
        </w:tc>
        <w:tc>
          <w:tcPr>
            <w:tcW w:w="1488" w:type="dxa"/>
          </w:tcPr>
          <w:p w14:paraId="4A1CAB7C">
            <w:pPr>
              <w:pStyle w:val="39"/>
              <w:spacing w:before="286" w:line="229" w:lineRule="auto"/>
              <w:ind w:left="524"/>
              <w:rPr>
                <w:rFonts w:ascii="Times New Roman" w:hAnsi="Times New Roman" w:cs="Times New Roman"/>
                <w:color w:val="auto"/>
                <w:sz w:val="24"/>
                <w:szCs w:val="24"/>
              </w:rPr>
            </w:pPr>
            <w:r>
              <w:rPr>
                <w:rFonts w:ascii="Times New Roman" w:hAnsi="Times New Roman" w:cs="Times New Roman"/>
                <w:color w:val="auto"/>
                <w:spacing w:val="5"/>
                <w:sz w:val="24"/>
                <w:szCs w:val="24"/>
              </w:rPr>
              <w:t>地址</w:t>
            </w:r>
          </w:p>
        </w:tc>
        <w:tc>
          <w:tcPr>
            <w:tcW w:w="2941" w:type="dxa"/>
            <w:gridSpan w:val="3"/>
          </w:tcPr>
          <w:p w14:paraId="507E2E11">
            <w:pPr>
              <w:rPr>
                <w:rFonts w:ascii="Times New Roman" w:hAnsi="Times New Roman" w:cs="Times New Roman"/>
                <w:color w:val="auto"/>
                <w:sz w:val="21"/>
              </w:rPr>
            </w:pPr>
          </w:p>
        </w:tc>
      </w:tr>
      <w:tr w14:paraId="0DD0E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74" w:type="dxa"/>
          </w:tcPr>
          <w:p w14:paraId="48FBBA1F">
            <w:pPr>
              <w:pStyle w:val="39"/>
              <w:spacing w:before="281" w:line="219" w:lineRule="auto"/>
              <w:ind w:left="125"/>
              <w:rPr>
                <w:rFonts w:ascii="Times New Roman" w:hAnsi="Times New Roman" w:cs="Times New Roman"/>
                <w:color w:val="auto"/>
                <w:sz w:val="24"/>
                <w:szCs w:val="24"/>
              </w:rPr>
            </w:pPr>
            <w:r>
              <w:rPr>
                <w:rFonts w:ascii="Times New Roman" w:hAnsi="Times New Roman" w:cs="Times New Roman"/>
                <w:color w:val="auto"/>
                <w:spacing w:val="2"/>
                <w:sz w:val="24"/>
                <w:szCs w:val="24"/>
              </w:rPr>
              <w:t>法定代表人</w:t>
            </w:r>
          </w:p>
        </w:tc>
        <w:tc>
          <w:tcPr>
            <w:tcW w:w="1279" w:type="dxa"/>
          </w:tcPr>
          <w:p w14:paraId="1BA9A10E">
            <w:pPr>
              <w:rPr>
                <w:rFonts w:ascii="Times New Roman" w:hAnsi="Times New Roman" w:cs="Times New Roman"/>
                <w:color w:val="auto"/>
                <w:sz w:val="21"/>
              </w:rPr>
            </w:pPr>
          </w:p>
        </w:tc>
        <w:tc>
          <w:tcPr>
            <w:tcW w:w="1658" w:type="dxa"/>
          </w:tcPr>
          <w:p w14:paraId="0A26AA1A">
            <w:pPr>
              <w:pStyle w:val="39"/>
              <w:spacing w:before="281" w:line="219" w:lineRule="auto"/>
              <w:ind w:left="112"/>
              <w:rPr>
                <w:rFonts w:ascii="Times New Roman" w:hAnsi="Times New Roman" w:cs="Times New Roman"/>
                <w:color w:val="auto"/>
                <w:sz w:val="24"/>
                <w:szCs w:val="24"/>
              </w:rPr>
            </w:pPr>
            <w:r>
              <w:rPr>
                <w:rFonts w:ascii="Times New Roman" w:hAnsi="Times New Roman" w:cs="Times New Roman"/>
                <w:color w:val="auto"/>
                <w:spacing w:val="2"/>
                <w:sz w:val="24"/>
                <w:szCs w:val="24"/>
              </w:rPr>
              <w:t>营业执照号码</w:t>
            </w:r>
          </w:p>
        </w:tc>
        <w:tc>
          <w:tcPr>
            <w:tcW w:w="1488" w:type="dxa"/>
          </w:tcPr>
          <w:p w14:paraId="7444B6D9">
            <w:pPr>
              <w:rPr>
                <w:rFonts w:ascii="Times New Roman" w:hAnsi="Times New Roman" w:cs="Times New Roman"/>
                <w:color w:val="auto"/>
                <w:sz w:val="21"/>
              </w:rPr>
            </w:pPr>
          </w:p>
        </w:tc>
        <w:tc>
          <w:tcPr>
            <w:tcW w:w="1458" w:type="dxa"/>
            <w:gridSpan w:val="2"/>
          </w:tcPr>
          <w:p w14:paraId="3065A464">
            <w:pPr>
              <w:pStyle w:val="39"/>
              <w:spacing w:before="140" w:line="232" w:lineRule="auto"/>
              <w:ind w:left="246" w:right="227"/>
              <w:rPr>
                <w:rFonts w:ascii="Times New Roman" w:hAnsi="Times New Roman" w:cs="Times New Roman"/>
                <w:color w:val="auto"/>
                <w:sz w:val="24"/>
                <w:szCs w:val="24"/>
              </w:rPr>
            </w:pPr>
            <w:r>
              <w:rPr>
                <w:rFonts w:ascii="Times New Roman" w:hAnsi="Times New Roman" w:cs="Times New Roman"/>
                <w:color w:val="auto"/>
                <w:spacing w:val="3"/>
                <w:sz w:val="24"/>
                <w:szCs w:val="24"/>
              </w:rPr>
              <w:t>资质等级</w:t>
            </w:r>
            <w:r>
              <w:rPr>
                <w:rFonts w:ascii="Times New Roman" w:hAnsi="Times New Roman" w:cs="Times New Roman"/>
                <w:color w:val="auto"/>
                <w:spacing w:val="1"/>
                <w:sz w:val="24"/>
                <w:szCs w:val="24"/>
              </w:rPr>
              <w:t xml:space="preserve"> </w:t>
            </w:r>
            <w:r>
              <w:rPr>
                <w:rFonts w:ascii="Times New Roman" w:hAnsi="Times New Roman" w:cs="Times New Roman"/>
                <w:color w:val="auto"/>
                <w:spacing w:val="3"/>
                <w:sz w:val="24"/>
                <w:szCs w:val="24"/>
              </w:rPr>
              <w:t>证书号码</w:t>
            </w:r>
          </w:p>
        </w:tc>
        <w:tc>
          <w:tcPr>
            <w:tcW w:w="1483" w:type="dxa"/>
          </w:tcPr>
          <w:p w14:paraId="28034F11">
            <w:pPr>
              <w:rPr>
                <w:rFonts w:ascii="Times New Roman" w:hAnsi="Times New Roman" w:cs="Times New Roman"/>
                <w:color w:val="auto"/>
                <w:sz w:val="21"/>
              </w:rPr>
            </w:pPr>
          </w:p>
        </w:tc>
      </w:tr>
      <w:tr w14:paraId="096DE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474" w:type="dxa"/>
          </w:tcPr>
          <w:p w14:paraId="33804689">
            <w:pPr>
              <w:pStyle w:val="39"/>
              <w:spacing w:before="130" w:line="230" w:lineRule="auto"/>
              <w:ind w:left="244" w:right="213"/>
              <w:rPr>
                <w:rFonts w:ascii="Times New Roman" w:hAnsi="Times New Roman" w:cs="Times New Roman"/>
                <w:color w:val="auto"/>
                <w:sz w:val="24"/>
                <w:szCs w:val="24"/>
              </w:rPr>
            </w:pPr>
            <w:r>
              <w:rPr>
                <w:rFonts w:ascii="Times New Roman" w:hAnsi="Times New Roman" w:cs="Times New Roman"/>
                <w:color w:val="auto"/>
                <w:spacing w:val="4"/>
                <w:sz w:val="24"/>
                <w:szCs w:val="24"/>
              </w:rPr>
              <w:t>拟分包的</w:t>
            </w:r>
            <w:r>
              <w:rPr>
                <w:rFonts w:ascii="Times New Roman" w:hAnsi="Times New Roman" w:cs="Times New Roman"/>
                <w:color w:val="auto"/>
                <w:spacing w:val="1"/>
                <w:sz w:val="24"/>
                <w:szCs w:val="24"/>
              </w:rPr>
              <w:t xml:space="preserve"> </w:t>
            </w:r>
            <w:r>
              <w:rPr>
                <w:rFonts w:ascii="Times New Roman" w:hAnsi="Times New Roman" w:cs="Times New Roman"/>
                <w:color w:val="auto"/>
                <w:spacing w:val="11"/>
                <w:sz w:val="24"/>
                <w:szCs w:val="24"/>
              </w:rPr>
              <w:t>工程项目</w:t>
            </w:r>
          </w:p>
        </w:tc>
        <w:tc>
          <w:tcPr>
            <w:tcW w:w="2937" w:type="dxa"/>
            <w:gridSpan w:val="2"/>
          </w:tcPr>
          <w:p w14:paraId="717AD9D1">
            <w:pPr>
              <w:pStyle w:val="39"/>
              <w:spacing w:before="271" w:line="219" w:lineRule="auto"/>
              <w:ind w:left="1001"/>
              <w:rPr>
                <w:rFonts w:ascii="Times New Roman" w:hAnsi="Times New Roman" w:cs="Times New Roman"/>
                <w:color w:val="auto"/>
                <w:sz w:val="24"/>
                <w:szCs w:val="24"/>
              </w:rPr>
            </w:pPr>
            <w:r>
              <w:rPr>
                <w:rFonts w:ascii="Times New Roman" w:hAnsi="Times New Roman" w:cs="Times New Roman"/>
                <w:color w:val="auto"/>
                <w:spacing w:val="3"/>
                <w:sz w:val="24"/>
                <w:szCs w:val="24"/>
              </w:rPr>
              <w:t>主要内容</w:t>
            </w:r>
          </w:p>
        </w:tc>
        <w:tc>
          <w:tcPr>
            <w:tcW w:w="2147" w:type="dxa"/>
            <w:gridSpan w:val="2"/>
          </w:tcPr>
          <w:p w14:paraId="34078EC8">
            <w:pPr>
              <w:pStyle w:val="39"/>
              <w:spacing w:before="109" w:line="243" w:lineRule="auto"/>
              <w:ind w:left="703" w:right="660" w:firstLine="120"/>
              <w:rPr>
                <w:rFonts w:ascii="Times New Roman" w:hAnsi="Times New Roman" w:cs="Times New Roman"/>
                <w:color w:val="auto"/>
                <w:sz w:val="24"/>
                <w:szCs w:val="24"/>
              </w:rPr>
            </w:pPr>
            <w:r>
              <w:rPr>
                <w:rFonts w:ascii="Times New Roman" w:hAnsi="Times New Roman" w:cs="Times New Roman"/>
                <w:color w:val="auto"/>
                <w:spacing w:val="-5"/>
                <w:sz w:val="24"/>
                <w:szCs w:val="24"/>
              </w:rPr>
              <w:t>造价</w:t>
            </w:r>
            <w:r>
              <w:rPr>
                <w:rFonts w:ascii="Times New Roman" w:hAnsi="Times New Roman" w:cs="Times New Roman"/>
                <w:color w:val="auto"/>
                <w:sz w:val="24"/>
                <w:szCs w:val="24"/>
              </w:rPr>
              <w:t xml:space="preserve">  </w:t>
            </w:r>
            <w:r>
              <w:rPr>
                <w:rFonts w:ascii="Times New Roman" w:hAnsi="Times New Roman" w:cs="Times New Roman"/>
                <w:color w:val="auto"/>
                <w:spacing w:val="13"/>
                <w:sz w:val="24"/>
                <w:szCs w:val="24"/>
              </w:rPr>
              <w:t>(万元)</w:t>
            </w:r>
          </w:p>
        </w:tc>
        <w:tc>
          <w:tcPr>
            <w:tcW w:w="2282" w:type="dxa"/>
            <w:gridSpan w:val="2"/>
          </w:tcPr>
          <w:p w14:paraId="7B796F3C">
            <w:pPr>
              <w:pStyle w:val="39"/>
              <w:spacing w:before="271" w:line="219" w:lineRule="auto"/>
              <w:ind w:left="77"/>
              <w:rPr>
                <w:rFonts w:ascii="Times New Roman" w:hAnsi="Times New Roman" w:cs="Times New Roman"/>
                <w:color w:val="auto"/>
                <w:sz w:val="24"/>
                <w:szCs w:val="24"/>
              </w:rPr>
            </w:pPr>
            <w:r>
              <w:rPr>
                <w:rFonts w:ascii="Times New Roman" w:hAnsi="Times New Roman" w:cs="Times New Roman"/>
                <w:color w:val="auto"/>
                <w:sz w:val="24"/>
                <w:szCs w:val="24"/>
              </w:rPr>
              <w:t>已经做过的类似工程</w:t>
            </w:r>
          </w:p>
        </w:tc>
      </w:tr>
      <w:tr w14:paraId="72CC3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74" w:type="dxa"/>
          </w:tcPr>
          <w:p w14:paraId="046C2DAC">
            <w:pPr>
              <w:rPr>
                <w:rFonts w:ascii="Times New Roman" w:hAnsi="Times New Roman" w:cs="Times New Roman"/>
                <w:color w:val="auto"/>
                <w:sz w:val="21"/>
              </w:rPr>
            </w:pPr>
          </w:p>
        </w:tc>
        <w:tc>
          <w:tcPr>
            <w:tcW w:w="2937" w:type="dxa"/>
            <w:gridSpan w:val="2"/>
          </w:tcPr>
          <w:p w14:paraId="327C5221">
            <w:pPr>
              <w:rPr>
                <w:rFonts w:ascii="Times New Roman" w:hAnsi="Times New Roman" w:cs="Times New Roman"/>
                <w:color w:val="auto"/>
                <w:sz w:val="21"/>
              </w:rPr>
            </w:pPr>
          </w:p>
        </w:tc>
        <w:tc>
          <w:tcPr>
            <w:tcW w:w="2147" w:type="dxa"/>
            <w:gridSpan w:val="2"/>
          </w:tcPr>
          <w:p w14:paraId="3E6E8A14">
            <w:pPr>
              <w:rPr>
                <w:rFonts w:ascii="Times New Roman" w:hAnsi="Times New Roman" w:cs="Times New Roman"/>
                <w:color w:val="auto"/>
                <w:sz w:val="21"/>
              </w:rPr>
            </w:pPr>
          </w:p>
        </w:tc>
        <w:tc>
          <w:tcPr>
            <w:tcW w:w="2282" w:type="dxa"/>
            <w:gridSpan w:val="2"/>
          </w:tcPr>
          <w:p w14:paraId="79D01D16">
            <w:pPr>
              <w:rPr>
                <w:rFonts w:ascii="Times New Roman" w:hAnsi="Times New Roman" w:cs="Times New Roman"/>
                <w:color w:val="auto"/>
                <w:sz w:val="21"/>
              </w:rPr>
            </w:pPr>
          </w:p>
        </w:tc>
      </w:tr>
      <w:tr w14:paraId="52F11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74" w:type="dxa"/>
          </w:tcPr>
          <w:p w14:paraId="17EC9160">
            <w:pPr>
              <w:rPr>
                <w:rFonts w:ascii="Times New Roman" w:hAnsi="Times New Roman" w:cs="Times New Roman"/>
                <w:color w:val="auto"/>
                <w:sz w:val="21"/>
              </w:rPr>
            </w:pPr>
          </w:p>
        </w:tc>
        <w:tc>
          <w:tcPr>
            <w:tcW w:w="2937" w:type="dxa"/>
            <w:gridSpan w:val="2"/>
          </w:tcPr>
          <w:p w14:paraId="49D717BA">
            <w:pPr>
              <w:rPr>
                <w:rFonts w:ascii="Times New Roman" w:hAnsi="Times New Roman" w:cs="Times New Roman"/>
                <w:color w:val="auto"/>
                <w:sz w:val="21"/>
              </w:rPr>
            </w:pPr>
          </w:p>
        </w:tc>
        <w:tc>
          <w:tcPr>
            <w:tcW w:w="2147" w:type="dxa"/>
            <w:gridSpan w:val="2"/>
          </w:tcPr>
          <w:p w14:paraId="69E302E0">
            <w:pPr>
              <w:rPr>
                <w:rFonts w:ascii="Times New Roman" w:hAnsi="Times New Roman" w:cs="Times New Roman"/>
                <w:color w:val="auto"/>
                <w:sz w:val="21"/>
              </w:rPr>
            </w:pPr>
          </w:p>
        </w:tc>
        <w:tc>
          <w:tcPr>
            <w:tcW w:w="2282" w:type="dxa"/>
            <w:gridSpan w:val="2"/>
          </w:tcPr>
          <w:p w14:paraId="33465049">
            <w:pPr>
              <w:rPr>
                <w:rFonts w:ascii="Times New Roman" w:hAnsi="Times New Roman" w:cs="Times New Roman"/>
                <w:color w:val="auto"/>
                <w:sz w:val="21"/>
              </w:rPr>
            </w:pPr>
          </w:p>
        </w:tc>
      </w:tr>
      <w:tr w14:paraId="5EDE2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474" w:type="dxa"/>
          </w:tcPr>
          <w:p w14:paraId="119ADEB8">
            <w:pPr>
              <w:rPr>
                <w:rFonts w:ascii="Times New Roman" w:hAnsi="Times New Roman" w:cs="Times New Roman"/>
                <w:color w:val="auto"/>
                <w:sz w:val="21"/>
              </w:rPr>
            </w:pPr>
          </w:p>
        </w:tc>
        <w:tc>
          <w:tcPr>
            <w:tcW w:w="2937" w:type="dxa"/>
            <w:gridSpan w:val="2"/>
          </w:tcPr>
          <w:p w14:paraId="0F8D5FAD">
            <w:pPr>
              <w:rPr>
                <w:rFonts w:ascii="Times New Roman" w:hAnsi="Times New Roman" w:cs="Times New Roman"/>
                <w:color w:val="auto"/>
                <w:sz w:val="21"/>
              </w:rPr>
            </w:pPr>
          </w:p>
        </w:tc>
        <w:tc>
          <w:tcPr>
            <w:tcW w:w="2147" w:type="dxa"/>
            <w:gridSpan w:val="2"/>
          </w:tcPr>
          <w:p w14:paraId="115F4C44">
            <w:pPr>
              <w:rPr>
                <w:rFonts w:ascii="Times New Roman" w:hAnsi="Times New Roman" w:cs="Times New Roman"/>
                <w:color w:val="auto"/>
                <w:sz w:val="21"/>
              </w:rPr>
            </w:pPr>
          </w:p>
        </w:tc>
        <w:tc>
          <w:tcPr>
            <w:tcW w:w="2282" w:type="dxa"/>
            <w:gridSpan w:val="2"/>
          </w:tcPr>
          <w:p w14:paraId="02A70403">
            <w:pPr>
              <w:rPr>
                <w:rFonts w:ascii="Times New Roman" w:hAnsi="Times New Roman" w:cs="Times New Roman"/>
                <w:color w:val="auto"/>
                <w:sz w:val="21"/>
              </w:rPr>
            </w:pPr>
          </w:p>
        </w:tc>
      </w:tr>
      <w:tr w14:paraId="40D9D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74" w:type="dxa"/>
          </w:tcPr>
          <w:p w14:paraId="7C584FB4">
            <w:pPr>
              <w:rPr>
                <w:rFonts w:ascii="Times New Roman" w:hAnsi="Times New Roman" w:cs="Times New Roman"/>
                <w:color w:val="auto"/>
                <w:sz w:val="21"/>
              </w:rPr>
            </w:pPr>
          </w:p>
        </w:tc>
        <w:tc>
          <w:tcPr>
            <w:tcW w:w="2937" w:type="dxa"/>
            <w:gridSpan w:val="2"/>
          </w:tcPr>
          <w:p w14:paraId="0DE5044D">
            <w:pPr>
              <w:rPr>
                <w:rFonts w:ascii="Times New Roman" w:hAnsi="Times New Roman" w:cs="Times New Roman"/>
                <w:color w:val="auto"/>
                <w:sz w:val="21"/>
              </w:rPr>
            </w:pPr>
          </w:p>
        </w:tc>
        <w:tc>
          <w:tcPr>
            <w:tcW w:w="2147" w:type="dxa"/>
            <w:gridSpan w:val="2"/>
          </w:tcPr>
          <w:p w14:paraId="2F7D4963">
            <w:pPr>
              <w:rPr>
                <w:rFonts w:ascii="Times New Roman" w:hAnsi="Times New Roman" w:cs="Times New Roman"/>
                <w:color w:val="auto"/>
                <w:sz w:val="21"/>
              </w:rPr>
            </w:pPr>
          </w:p>
        </w:tc>
        <w:tc>
          <w:tcPr>
            <w:tcW w:w="2282" w:type="dxa"/>
            <w:gridSpan w:val="2"/>
          </w:tcPr>
          <w:p w14:paraId="5DEBC873">
            <w:pPr>
              <w:rPr>
                <w:rFonts w:ascii="Times New Roman" w:hAnsi="Times New Roman" w:cs="Times New Roman"/>
                <w:color w:val="auto"/>
                <w:sz w:val="21"/>
              </w:rPr>
            </w:pPr>
          </w:p>
        </w:tc>
      </w:tr>
      <w:tr w14:paraId="388D1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474" w:type="dxa"/>
          </w:tcPr>
          <w:p w14:paraId="2F5BCCC2">
            <w:pPr>
              <w:rPr>
                <w:rFonts w:ascii="Times New Roman" w:hAnsi="Times New Roman" w:cs="Times New Roman"/>
                <w:color w:val="auto"/>
                <w:sz w:val="21"/>
              </w:rPr>
            </w:pPr>
          </w:p>
        </w:tc>
        <w:tc>
          <w:tcPr>
            <w:tcW w:w="2937" w:type="dxa"/>
            <w:gridSpan w:val="2"/>
          </w:tcPr>
          <w:p w14:paraId="4D697EDA">
            <w:pPr>
              <w:rPr>
                <w:rFonts w:ascii="Times New Roman" w:hAnsi="Times New Roman" w:cs="Times New Roman"/>
                <w:color w:val="auto"/>
                <w:sz w:val="21"/>
              </w:rPr>
            </w:pPr>
          </w:p>
        </w:tc>
        <w:tc>
          <w:tcPr>
            <w:tcW w:w="2147" w:type="dxa"/>
            <w:gridSpan w:val="2"/>
          </w:tcPr>
          <w:p w14:paraId="3547A066">
            <w:pPr>
              <w:rPr>
                <w:rFonts w:ascii="Times New Roman" w:hAnsi="Times New Roman" w:cs="Times New Roman"/>
                <w:color w:val="auto"/>
                <w:sz w:val="21"/>
              </w:rPr>
            </w:pPr>
          </w:p>
        </w:tc>
        <w:tc>
          <w:tcPr>
            <w:tcW w:w="2282" w:type="dxa"/>
            <w:gridSpan w:val="2"/>
          </w:tcPr>
          <w:p w14:paraId="0A827530">
            <w:pPr>
              <w:rPr>
                <w:rFonts w:ascii="Times New Roman" w:hAnsi="Times New Roman" w:cs="Times New Roman"/>
                <w:color w:val="auto"/>
                <w:sz w:val="21"/>
              </w:rPr>
            </w:pPr>
          </w:p>
        </w:tc>
      </w:tr>
      <w:tr w14:paraId="0AFD2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74" w:type="dxa"/>
          </w:tcPr>
          <w:p w14:paraId="72743D48">
            <w:pPr>
              <w:rPr>
                <w:rFonts w:ascii="Times New Roman" w:hAnsi="Times New Roman" w:cs="Times New Roman"/>
                <w:color w:val="auto"/>
                <w:sz w:val="21"/>
              </w:rPr>
            </w:pPr>
          </w:p>
        </w:tc>
        <w:tc>
          <w:tcPr>
            <w:tcW w:w="2937" w:type="dxa"/>
            <w:gridSpan w:val="2"/>
          </w:tcPr>
          <w:p w14:paraId="3859FBCE">
            <w:pPr>
              <w:rPr>
                <w:rFonts w:ascii="Times New Roman" w:hAnsi="Times New Roman" w:cs="Times New Roman"/>
                <w:color w:val="auto"/>
                <w:sz w:val="21"/>
              </w:rPr>
            </w:pPr>
          </w:p>
        </w:tc>
        <w:tc>
          <w:tcPr>
            <w:tcW w:w="2147" w:type="dxa"/>
            <w:gridSpan w:val="2"/>
          </w:tcPr>
          <w:p w14:paraId="6C915A8A">
            <w:pPr>
              <w:rPr>
                <w:rFonts w:ascii="Times New Roman" w:hAnsi="Times New Roman" w:cs="Times New Roman"/>
                <w:color w:val="auto"/>
                <w:sz w:val="21"/>
              </w:rPr>
            </w:pPr>
          </w:p>
        </w:tc>
        <w:tc>
          <w:tcPr>
            <w:tcW w:w="2282" w:type="dxa"/>
            <w:gridSpan w:val="2"/>
          </w:tcPr>
          <w:p w14:paraId="3B7B433D">
            <w:pPr>
              <w:rPr>
                <w:rFonts w:ascii="Times New Roman" w:hAnsi="Times New Roman" w:cs="Times New Roman"/>
                <w:color w:val="auto"/>
                <w:sz w:val="21"/>
              </w:rPr>
            </w:pPr>
          </w:p>
        </w:tc>
      </w:tr>
      <w:tr w14:paraId="651FC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74" w:type="dxa"/>
          </w:tcPr>
          <w:p w14:paraId="38365244">
            <w:pPr>
              <w:rPr>
                <w:rFonts w:ascii="Times New Roman" w:hAnsi="Times New Roman" w:cs="Times New Roman"/>
                <w:color w:val="auto"/>
                <w:sz w:val="21"/>
              </w:rPr>
            </w:pPr>
          </w:p>
        </w:tc>
        <w:tc>
          <w:tcPr>
            <w:tcW w:w="2937" w:type="dxa"/>
            <w:gridSpan w:val="2"/>
          </w:tcPr>
          <w:p w14:paraId="18D6086C">
            <w:pPr>
              <w:rPr>
                <w:rFonts w:ascii="Times New Roman" w:hAnsi="Times New Roman" w:cs="Times New Roman"/>
                <w:color w:val="auto"/>
                <w:sz w:val="21"/>
              </w:rPr>
            </w:pPr>
          </w:p>
        </w:tc>
        <w:tc>
          <w:tcPr>
            <w:tcW w:w="2147" w:type="dxa"/>
            <w:gridSpan w:val="2"/>
          </w:tcPr>
          <w:p w14:paraId="63FEDF68">
            <w:pPr>
              <w:rPr>
                <w:rFonts w:ascii="Times New Roman" w:hAnsi="Times New Roman" w:cs="Times New Roman"/>
                <w:color w:val="auto"/>
                <w:sz w:val="21"/>
              </w:rPr>
            </w:pPr>
          </w:p>
        </w:tc>
        <w:tc>
          <w:tcPr>
            <w:tcW w:w="2282" w:type="dxa"/>
            <w:gridSpan w:val="2"/>
          </w:tcPr>
          <w:p w14:paraId="36AA29A8">
            <w:pPr>
              <w:rPr>
                <w:rFonts w:ascii="Times New Roman" w:hAnsi="Times New Roman" w:cs="Times New Roman"/>
                <w:color w:val="auto"/>
                <w:sz w:val="21"/>
              </w:rPr>
            </w:pPr>
          </w:p>
        </w:tc>
      </w:tr>
      <w:tr w14:paraId="4F929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474" w:type="dxa"/>
          </w:tcPr>
          <w:p w14:paraId="5641A465">
            <w:pPr>
              <w:rPr>
                <w:rFonts w:ascii="Times New Roman" w:hAnsi="Times New Roman" w:cs="Times New Roman"/>
                <w:color w:val="auto"/>
                <w:sz w:val="21"/>
              </w:rPr>
            </w:pPr>
          </w:p>
        </w:tc>
        <w:tc>
          <w:tcPr>
            <w:tcW w:w="2937" w:type="dxa"/>
            <w:gridSpan w:val="2"/>
          </w:tcPr>
          <w:p w14:paraId="03DDA67D">
            <w:pPr>
              <w:rPr>
                <w:rFonts w:ascii="Times New Roman" w:hAnsi="Times New Roman" w:cs="Times New Roman"/>
                <w:color w:val="auto"/>
                <w:sz w:val="21"/>
              </w:rPr>
            </w:pPr>
          </w:p>
        </w:tc>
        <w:tc>
          <w:tcPr>
            <w:tcW w:w="2147" w:type="dxa"/>
            <w:gridSpan w:val="2"/>
          </w:tcPr>
          <w:p w14:paraId="715824ED">
            <w:pPr>
              <w:rPr>
                <w:rFonts w:ascii="Times New Roman" w:hAnsi="Times New Roman" w:cs="Times New Roman"/>
                <w:color w:val="auto"/>
                <w:sz w:val="21"/>
              </w:rPr>
            </w:pPr>
          </w:p>
        </w:tc>
        <w:tc>
          <w:tcPr>
            <w:tcW w:w="2282" w:type="dxa"/>
            <w:gridSpan w:val="2"/>
          </w:tcPr>
          <w:p w14:paraId="4341FA18">
            <w:pPr>
              <w:rPr>
                <w:rFonts w:ascii="Times New Roman" w:hAnsi="Times New Roman" w:cs="Times New Roman"/>
                <w:color w:val="auto"/>
                <w:sz w:val="21"/>
              </w:rPr>
            </w:pPr>
          </w:p>
        </w:tc>
      </w:tr>
      <w:tr w14:paraId="288E5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74" w:type="dxa"/>
          </w:tcPr>
          <w:p w14:paraId="49B9C143">
            <w:pPr>
              <w:rPr>
                <w:rFonts w:ascii="Times New Roman" w:hAnsi="Times New Roman" w:cs="Times New Roman"/>
                <w:color w:val="auto"/>
                <w:sz w:val="21"/>
              </w:rPr>
            </w:pPr>
          </w:p>
        </w:tc>
        <w:tc>
          <w:tcPr>
            <w:tcW w:w="2937" w:type="dxa"/>
            <w:gridSpan w:val="2"/>
          </w:tcPr>
          <w:p w14:paraId="3970FE15">
            <w:pPr>
              <w:rPr>
                <w:rFonts w:ascii="Times New Roman" w:hAnsi="Times New Roman" w:cs="Times New Roman"/>
                <w:color w:val="auto"/>
                <w:sz w:val="21"/>
              </w:rPr>
            </w:pPr>
          </w:p>
        </w:tc>
        <w:tc>
          <w:tcPr>
            <w:tcW w:w="2147" w:type="dxa"/>
            <w:gridSpan w:val="2"/>
          </w:tcPr>
          <w:p w14:paraId="2A4786E0">
            <w:pPr>
              <w:rPr>
                <w:rFonts w:ascii="Times New Roman" w:hAnsi="Times New Roman" w:cs="Times New Roman"/>
                <w:color w:val="auto"/>
                <w:sz w:val="21"/>
              </w:rPr>
            </w:pPr>
          </w:p>
        </w:tc>
        <w:tc>
          <w:tcPr>
            <w:tcW w:w="2282" w:type="dxa"/>
            <w:gridSpan w:val="2"/>
          </w:tcPr>
          <w:p w14:paraId="4B65B1BB">
            <w:pPr>
              <w:rPr>
                <w:rFonts w:ascii="Times New Roman" w:hAnsi="Times New Roman" w:cs="Times New Roman"/>
                <w:color w:val="auto"/>
                <w:sz w:val="21"/>
              </w:rPr>
            </w:pPr>
          </w:p>
        </w:tc>
      </w:tr>
      <w:tr w14:paraId="74936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474" w:type="dxa"/>
          </w:tcPr>
          <w:p w14:paraId="124FFC94">
            <w:pPr>
              <w:rPr>
                <w:rFonts w:ascii="Times New Roman" w:hAnsi="Times New Roman" w:cs="Times New Roman"/>
                <w:color w:val="auto"/>
                <w:sz w:val="21"/>
              </w:rPr>
            </w:pPr>
          </w:p>
        </w:tc>
        <w:tc>
          <w:tcPr>
            <w:tcW w:w="2937" w:type="dxa"/>
            <w:gridSpan w:val="2"/>
          </w:tcPr>
          <w:p w14:paraId="5ABD28FD">
            <w:pPr>
              <w:rPr>
                <w:rFonts w:ascii="Times New Roman" w:hAnsi="Times New Roman" w:cs="Times New Roman"/>
                <w:color w:val="auto"/>
                <w:sz w:val="21"/>
              </w:rPr>
            </w:pPr>
          </w:p>
        </w:tc>
        <w:tc>
          <w:tcPr>
            <w:tcW w:w="2147" w:type="dxa"/>
            <w:gridSpan w:val="2"/>
          </w:tcPr>
          <w:p w14:paraId="4351233A">
            <w:pPr>
              <w:rPr>
                <w:rFonts w:ascii="Times New Roman" w:hAnsi="Times New Roman" w:cs="Times New Roman"/>
                <w:color w:val="auto"/>
                <w:sz w:val="21"/>
              </w:rPr>
            </w:pPr>
          </w:p>
        </w:tc>
        <w:tc>
          <w:tcPr>
            <w:tcW w:w="2282" w:type="dxa"/>
            <w:gridSpan w:val="2"/>
          </w:tcPr>
          <w:p w14:paraId="6D12D815">
            <w:pPr>
              <w:rPr>
                <w:rFonts w:ascii="Times New Roman" w:hAnsi="Times New Roman" w:cs="Times New Roman"/>
                <w:color w:val="auto"/>
                <w:sz w:val="21"/>
              </w:rPr>
            </w:pPr>
          </w:p>
        </w:tc>
      </w:tr>
      <w:tr w14:paraId="4B5E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74" w:type="dxa"/>
          </w:tcPr>
          <w:p w14:paraId="42B0C021">
            <w:pPr>
              <w:rPr>
                <w:rFonts w:ascii="Times New Roman" w:hAnsi="Times New Roman" w:cs="Times New Roman"/>
                <w:color w:val="auto"/>
                <w:sz w:val="21"/>
              </w:rPr>
            </w:pPr>
          </w:p>
        </w:tc>
        <w:tc>
          <w:tcPr>
            <w:tcW w:w="2937" w:type="dxa"/>
            <w:gridSpan w:val="2"/>
          </w:tcPr>
          <w:p w14:paraId="4426BABA">
            <w:pPr>
              <w:rPr>
                <w:rFonts w:ascii="Times New Roman" w:hAnsi="Times New Roman" w:cs="Times New Roman"/>
                <w:color w:val="auto"/>
                <w:sz w:val="21"/>
              </w:rPr>
            </w:pPr>
          </w:p>
        </w:tc>
        <w:tc>
          <w:tcPr>
            <w:tcW w:w="2147" w:type="dxa"/>
            <w:gridSpan w:val="2"/>
          </w:tcPr>
          <w:p w14:paraId="1CA5FD9E">
            <w:pPr>
              <w:rPr>
                <w:rFonts w:ascii="Times New Roman" w:hAnsi="Times New Roman" w:cs="Times New Roman"/>
                <w:color w:val="auto"/>
                <w:sz w:val="21"/>
              </w:rPr>
            </w:pPr>
          </w:p>
        </w:tc>
        <w:tc>
          <w:tcPr>
            <w:tcW w:w="2282" w:type="dxa"/>
            <w:gridSpan w:val="2"/>
          </w:tcPr>
          <w:p w14:paraId="3B26F975">
            <w:pPr>
              <w:rPr>
                <w:rFonts w:ascii="Times New Roman" w:hAnsi="Times New Roman" w:cs="Times New Roman"/>
                <w:color w:val="auto"/>
                <w:sz w:val="21"/>
              </w:rPr>
            </w:pPr>
          </w:p>
        </w:tc>
      </w:tr>
      <w:tr w14:paraId="343FA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474" w:type="dxa"/>
          </w:tcPr>
          <w:p w14:paraId="258651C8">
            <w:pPr>
              <w:rPr>
                <w:rFonts w:ascii="Times New Roman" w:hAnsi="Times New Roman" w:cs="Times New Roman"/>
                <w:color w:val="auto"/>
                <w:sz w:val="21"/>
              </w:rPr>
            </w:pPr>
          </w:p>
        </w:tc>
        <w:tc>
          <w:tcPr>
            <w:tcW w:w="2937" w:type="dxa"/>
            <w:gridSpan w:val="2"/>
          </w:tcPr>
          <w:p w14:paraId="530E35FC">
            <w:pPr>
              <w:rPr>
                <w:rFonts w:ascii="Times New Roman" w:hAnsi="Times New Roman" w:cs="Times New Roman"/>
                <w:color w:val="auto"/>
                <w:sz w:val="21"/>
              </w:rPr>
            </w:pPr>
          </w:p>
        </w:tc>
        <w:tc>
          <w:tcPr>
            <w:tcW w:w="2147" w:type="dxa"/>
            <w:gridSpan w:val="2"/>
          </w:tcPr>
          <w:p w14:paraId="78E055DE">
            <w:pPr>
              <w:rPr>
                <w:rFonts w:ascii="Times New Roman" w:hAnsi="Times New Roman" w:cs="Times New Roman"/>
                <w:color w:val="auto"/>
                <w:sz w:val="21"/>
              </w:rPr>
            </w:pPr>
          </w:p>
        </w:tc>
        <w:tc>
          <w:tcPr>
            <w:tcW w:w="2282" w:type="dxa"/>
            <w:gridSpan w:val="2"/>
          </w:tcPr>
          <w:p w14:paraId="33A9F56F">
            <w:pPr>
              <w:rPr>
                <w:rFonts w:ascii="Times New Roman" w:hAnsi="Times New Roman" w:cs="Times New Roman"/>
                <w:color w:val="auto"/>
                <w:sz w:val="21"/>
              </w:rPr>
            </w:pPr>
          </w:p>
        </w:tc>
      </w:tr>
    </w:tbl>
    <w:p w14:paraId="0814DB23">
      <w:pPr>
        <w:kinsoku/>
        <w:topLinePunct/>
        <w:rPr>
          <w:rFonts w:ascii="Times New Roman" w:hAnsi="Times New Roman" w:eastAsia="黑体" w:cs="Times New Roman"/>
          <w:b/>
          <w:color w:val="auto"/>
          <w:sz w:val="44"/>
          <w:szCs w:val="44"/>
        </w:rPr>
      </w:pPr>
    </w:p>
    <w:sectPr>
      <w:pgSz w:w="11906" w:h="16838"/>
      <w:pgMar w:top="1440" w:right="1080" w:bottom="1440" w:left="1080" w:header="850" w:footer="850" w:gutter="0"/>
      <w:cols w:space="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B95BE5-780E-4DEA-8F59-4261A21CE8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094BAA5-CF0F-453F-B06C-6BBA70DA0937}"/>
  </w:font>
  <w:font w:name="新宋体">
    <w:panose1 w:val="02010609030101010101"/>
    <w:charset w:val="86"/>
    <w:family w:val="modern"/>
    <w:pitch w:val="default"/>
    <w:sig w:usb0="00000203" w:usb1="288F0000" w:usb2="00000006" w:usb3="00000000" w:csb0="00040001" w:csb1="00000000"/>
    <w:embedRegular r:id="rId3" w:fontKey="{4D85FD60-21BF-40CF-880F-AA65894A95A6}"/>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4" w:fontKey="{2A94EA27-9625-4AF7-8B75-5936903E7F92}"/>
  </w:font>
  <w:font w:name="仿宋_GB2312">
    <w:altName w:val="仿宋"/>
    <w:panose1 w:val="02010609030101010101"/>
    <w:charset w:val="86"/>
    <w:family w:val="auto"/>
    <w:pitch w:val="default"/>
    <w:sig w:usb0="00000001" w:usb1="080E0000" w:usb2="00000000" w:usb3="00000000" w:csb0="00040000" w:csb1="00000000"/>
    <w:embedRegular r:id="rId5" w:fontKey="{56F84098-2F7C-4667-AACA-4F18F31D5AA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PSEMBED18">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43B42">
    <w:pPr>
      <w:pStyle w:val="14"/>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A0508">
    <w:pPr>
      <w:spacing w:line="173" w:lineRule="auto"/>
      <w:ind w:left="4555"/>
      <w:rPr>
        <w:rFonts w:ascii="Times New Roman" w:hAnsi="Times New Roman" w:eastAsia="Times New Roman" w:cs="Times New Roman"/>
        <w:sz w:val="14"/>
        <w:szCs w:val="14"/>
      </w:rPr>
    </w:pPr>
    <w:r>
      <w:rPr>
        <w:sz w:val="14"/>
      </w:rP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42ADD5E">
                          <w:pPr>
                            <w:pStyle w:val="14"/>
                          </w:pPr>
                          <w:r>
                            <w:fldChar w:fldCharType="begin"/>
                          </w:r>
                          <w:r>
                            <w:instrText xml:space="preserve"> PAGE  \* MERGEFORMAT </w:instrText>
                          </w:r>
                          <w:r>
                            <w:fldChar w:fldCharType="separate"/>
                          </w:r>
                          <w:r>
                            <w:t>38</w:t>
                          </w:r>
                          <w:r>
                            <w:fldChar w:fldCharType="end"/>
                          </w:r>
                        </w:p>
                      </w:txbxContent>
                    </wps:txbx>
                    <wps:bodyPr vert="horz" wrap="none" lIns="0" tIns="0" rIns="0" bIns="0" anchor="t">
                      <a:spAutoFit/>
                    </wps:bodyPr>
                  </wps:wsp>
                </a:graphicData>
              </a:graphic>
            </wp:anchor>
          </w:drawing>
        </mc:Choice>
        <mc:Fallback>
          <w:pict>
            <v:rect id="文本框 18"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HfzhvHKAQAAkwMAAA4AAAAAAAAAAQAgAAAAHwEAAGRycy9lMm9E&#10;b2MueG1sUEsFBgAAAAAGAAYAWQEAAFsFAAAAAA==&#10;">
              <v:fill on="f" focussize="0,0"/>
              <v:stroke on="f"/>
              <v:imagedata o:title=""/>
              <o:lock v:ext="edit" aspectratio="f"/>
              <v:textbox inset="0mm,0mm,0mm,0mm" style="mso-fit-shape-to-text:t;">
                <w:txbxContent>
                  <w:p w14:paraId="642ADD5E">
                    <w:pPr>
                      <w:pStyle w:val="14"/>
                    </w:pPr>
                    <w:r>
                      <w:fldChar w:fldCharType="begin"/>
                    </w:r>
                    <w:r>
                      <w:instrText xml:space="preserve"> PAGE  \* MERGEFORMAT </w:instrText>
                    </w:r>
                    <w:r>
                      <w:fldChar w:fldCharType="separate"/>
                    </w:r>
                    <w:r>
                      <w:t>38</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27C98">
    <w:pPr>
      <w:spacing w:line="188"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DDDD5F1">
                          <w:pPr>
                            <w:pStyle w:val="14"/>
                          </w:pPr>
                          <w:r>
                            <w:fldChar w:fldCharType="begin"/>
                          </w:r>
                          <w:r>
                            <w:instrText xml:space="preserve"> PAGE  \* MERGEFORMAT </w:instrText>
                          </w:r>
                          <w:r>
                            <w:fldChar w:fldCharType="separate"/>
                          </w:r>
                          <w:r>
                            <w:t>39</w:t>
                          </w:r>
                          <w:r>
                            <w:fldChar w:fldCharType="end"/>
                          </w:r>
                        </w:p>
                      </w:txbxContent>
                    </wps:txbx>
                    <wps:bodyPr vert="horz" wrap="none" lIns="0" tIns="0" rIns="0" bIns="0" anchor="t">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TYBUkywEAAJMDAAAOAAAAAAAAAAEAIAAAAB8BAABkcnMvZTJv&#10;RG9jLnhtbFBLBQYAAAAABgAGAFkBAABcBQAAAAA=&#10;">
              <v:fill on="f" focussize="0,0"/>
              <v:stroke on="f"/>
              <v:imagedata o:title=""/>
              <o:lock v:ext="edit" aspectratio="f"/>
              <v:textbox inset="0mm,0mm,0mm,0mm" style="mso-fit-shape-to-text:t;">
                <w:txbxContent>
                  <w:p w14:paraId="5DDDD5F1">
                    <w:pPr>
                      <w:pStyle w:val="14"/>
                    </w:pPr>
                    <w:r>
                      <w:fldChar w:fldCharType="begin"/>
                    </w:r>
                    <w:r>
                      <w:instrText xml:space="preserve"> PAGE  \* MERGEFORMAT </w:instrText>
                    </w:r>
                    <w:r>
                      <w:fldChar w:fldCharType="separate"/>
                    </w:r>
                    <w:r>
                      <w:t>39</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F30B">
    <w:pPr>
      <w:spacing w:line="188"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66432" behindDoc="0" locked="0" layoutInCell="1" allowOverlap="1">
              <wp:simplePos x="0" y="0"/>
              <wp:positionH relativeFrom="margin">
                <wp:posOffset>3028950</wp:posOffset>
              </wp:positionH>
              <wp:positionV relativeFrom="paragraph">
                <wp:posOffset>-142240</wp:posOffset>
              </wp:positionV>
              <wp:extent cx="1828800" cy="1828800"/>
              <wp:effectExtent l="0" t="0" r="0" b="0"/>
              <wp:wrapNone/>
              <wp:docPr id="4108"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1B4A4DE">
                          <w:pPr>
                            <w:pStyle w:val="1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43</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16" o:spid="_x0000_s1026" o:spt="1" style="position:absolute;left:0pt;margin-left:238.5pt;margin-top:-11.2pt;height:144pt;width:144pt;mso-position-horizontal-relative:margin;mso-wrap-style:none;z-index:251666432;mso-width-relative:page;mso-height-relative:page;" filled="f" stroked="f" coordsize="21600,21600" o:gfxdata="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7tQdd9kAAAALAQAADwAAAAAAAAABACAAAAAiAAAAZHJz&#10;L2Rvd25yZXYueG1sUEsBAhQAFAAAAAgAh07iQCb0vTPKAQAAkwMAAA4AAAAAAAAAAQAgAAAAKAEA&#10;AGRycy9lMm9Eb2MueG1sUEsFBgAAAAAGAAYAWQEAAGQFAAAAAA==&#10;">
              <v:fill on="f" focussize="0,0"/>
              <v:stroke on="f"/>
              <v:imagedata o:title=""/>
              <o:lock v:ext="edit" aspectratio="f"/>
              <v:textbox inset="0mm,0mm,0mm,0mm" style="mso-fit-shape-to-text:t;">
                <w:txbxContent>
                  <w:p w14:paraId="51B4A4DE">
                    <w:pPr>
                      <w:pStyle w:val="1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43</w:t>
                    </w:r>
                    <w:r>
                      <w:rPr>
                        <w:rFonts w:ascii="Times New Roman" w:hAnsi="Times New Roman" w:cs="Times New Roman"/>
                      </w:rP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690A8">
    <w:pPr>
      <w:spacing w:line="188"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文本框 2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4D8AB50">
                          <w:pPr>
                            <w:pStyle w:val="14"/>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20"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FjZfb7KAQAAkwMAAA4AAAAAAAAAAQAgAAAAHwEAAGRycy9lMm9E&#10;b2MueG1sUEsFBgAAAAAGAAYAWQEAAFsFAAAAAA==&#10;">
              <v:fill on="f" focussize="0,0"/>
              <v:stroke on="f"/>
              <v:imagedata o:title=""/>
              <o:lock v:ext="edit" aspectratio="f"/>
              <v:textbox inset="0mm,0mm,0mm,0mm" style="mso-fit-shape-to-text:t;">
                <w:txbxContent>
                  <w:p w14:paraId="44D8AB50">
                    <w:pPr>
                      <w:pStyle w:val="14"/>
                    </w:pPr>
                    <w:r>
                      <w:fldChar w:fldCharType="begin"/>
                    </w:r>
                    <w:r>
                      <w:instrText xml:space="preserve"> PAGE  \* MERGEFORMAT </w:instrText>
                    </w:r>
                    <w:r>
                      <w:fldChar w:fldCharType="separate"/>
                    </w:r>
                    <w:r>
                      <w:t>46</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E5FE5">
    <w:pPr>
      <w:pStyle w:val="14"/>
    </w:pPr>
    <w: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文本框 2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6389FA2">
                          <w:pPr>
                            <w:pStyle w:val="14"/>
                          </w:pPr>
                          <w:r>
                            <w:fldChar w:fldCharType="begin"/>
                          </w:r>
                          <w:r>
                            <w:instrText xml:space="preserve"> PAGE  \* MERGEFORMAT </w:instrText>
                          </w:r>
                          <w:r>
                            <w:fldChar w:fldCharType="separate"/>
                          </w:r>
                          <w:r>
                            <w:t>44</w:t>
                          </w:r>
                          <w:r>
                            <w:fldChar w:fldCharType="end"/>
                          </w:r>
                        </w:p>
                      </w:txbxContent>
                    </wps:txbx>
                    <wps:bodyPr vert="horz" wrap="none" lIns="0" tIns="0" rIns="0" bIns="0" anchor="t">
                      <a:spAutoFit/>
                    </wps:bodyPr>
                  </wps:wsp>
                </a:graphicData>
              </a:graphic>
            </wp:anchor>
          </w:drawing>
        </mc:Choice>
        <mc:Fallback>
          <w:pict>
            <v:rect id="文本框 24" o:spid="_x0000_s1026" o:spt="1"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3hEAb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wWZ4oSlNz///nX+8+/8&#10;9ydbXieLuoAlnXwI9zBlSGHS2zdg05eUsH6w9XSxVfWRSdosVsvVKidwSbU5IZzs8XoAjJ+UtywF&#10;FQd6t8FOcbzDOB6dj6RuxqXV+VttzFhNO1miORJLUex3/cR25+sTyaSpJ/DWww/OOnrzijsacc7M&#10;Z0eWpvGYA5iD3RwIJ+lixUdeGD4eIrUfuKVmY4eJA73VoG6aqzQMT/Ph1OO/tPk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M3hEAbKAQAAkwMAAA4AAAAAAAAAAQAgAAAAHwEAAGRycy9lMm9E&#10;b2MueG1sUEsFBgAAAAAGAAYAWQEAAFsFAAAAAA==&#10;">
              <v:fill on="f" focussize="0,0"/>
              <v:stroke on="f"/>
              <v:imagedata o:title=""/>
              <o:lock v:ext="edit" aspectratio="f"/>
              <v:textbox inset="0mm,0mm,0mm,0mm" style="mso-fit-shape-to-text:t;">
                <w:txbxContent>
                  <w:p w14:paraId="46389FA2">
                    <w:pPr>
                      <w:pStyle w:val="14"/>
                    </w:pPr>
                    <w:r>
                      <w:fldChar w:fldCharType="begin"/>
                    </w:r>
                    <w:r>
                      <w:instrText xml:space="preserve"> PAGE  \* MERGEFORMAT </w:instrText>
                    </w:r>
                    <w:r>
                      <w:fldChar w:fldCharType="separate"/>
                    </w:r>
                    <w:r>
                      <w:t>44</w:t>
                    </w:r>
                    <w:r>
                      <w:fldChar w:fldCharType="end"/>
                    </w:r>
                  </w:p>
                </w:txbxContent>
              </v:textbox>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53544">
    <w:pPr>
      <w:spacing w:line="178" w:lineRule="auto"/>
      <w:ind w:left="4522"/>
      <w:rPr>
        <w:rFonts w:ascii="Calibri" w:hAnsi="Calibri" w:eastAsia="Calibri" w:cs="Calibri"/>
        <w:sz w:val="18"/>
        <w:szCs w:val="18"/>
      </w:rPr>
    </w:pPr>
    <w:r>
      <w:rPr>
        <w:sz w:val="18"/>
      </w:rPr>
      <mc:AlternateContent>
        <mc:Choice Requires="wps">
          <w:drawing>
            <wp:anchor distT="0" distB="0" distL="0" distR="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1"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575001">
                          <w:pPr>
                            <w:pStyle w:val="14"/>
                          </w:pPr>
                          <w:r>
                            <w:fldChar w:fldCharType="begin"/>
                          </w:r>
                          <w:r>
                            <w:instrText xml:space="preserve"> PAGE  \* MERGEFORMAT </w:instrText>
                          </w:r>
                          <w:r>
                            <w:fldChar w:fldCharType="separate"/>
                          </w:r>
                          <w:r>
                            <w:t>47</w:t>
                          </w:r>
                          <w:r>
                            <w:fldChar w:fldCharType="end"/>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naF5vKAQAAkg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0XBmROW3vz8+9f5z7/z&#10;35/sOjnUBSzp4EO4hylDCpPcvgGbviSE9YOrp4urqo9M0maxWq5WORkuqTYnhJM9Xg+A8ZPylqWg&#10;4kDPNrgpjncYx6PzkdTNuLQ6f6uNGatpJ0s0R2Ipiv2un9jufH0ilTT0BN56+MFZR09ecUcTzpn5&#10;7MjRNB1zAHOwmwPhJF2s+MgLw8dDpPYDt9Rs7DBxoKca1E1jlWbhaT6cevyVN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GnaF5vKAQAAkgMAAA4AAAAAAAAAAQAgAAAAHwEAAGRycy9lMm9E&#10;b2MueG1sUEsFBgAAAAAGAAYAWQEAAFsFAAAAAA==&#10;">
              <v:fill on="f" focussize="0,0"/>
              <v:stroke on="f"/>
              <v:imagedata o:title=""/>
              <o:lock v:ext="edit" aspectratio="f"/>
              <v:textbox inset="0mm,0mm,0mm,0mm" style="mso-fit-shape-to-text:t;">
                <w:txbxContent>
                  <w:p w14:paraId="6E575001">
                    <w:pPr>
                      <w:pStyle w:val="14"/>
                    </w:pPr>
                    <w:r>
                      <w:fldChar w:fldCharType="begin"/>
                    </w:r>
                    <w:r>
                      <w:instrText xml:space="preserve"> PAGE  \* MERGEFORMAT </w:instrText>
                    </w:r>
                    <w:r>
                      <w:fldChar w:fldCharType="separate"/>
                    </w:r>
                    <w:r>
                      <w:t>47</w:t>
                    </w:r>
                    <w:r>
                      <w:fldChar w:fldCharType="end"/>
                    </w:r>
                  </w:p>
                </w:txbxContent>
              </v:textbox>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1AC73">
    <w:pPr>
      <w:spacing w:line="173" w:lineRule="auto"/>
      <w:rPr>
        <w:rFonts w:ascii="Times New Roman" w:hAnsi="Times New Roman" w:eastAsia="Times New Roman" w:cs="Times New Roman"/>
        <w:sz w:val="14"/>
        <w:szCs w:val="14"/>
      </w:rPr>
    </w:pPr>
    <w:r>
      <w:rPr>
        <w:sz w:val="14"/>
      </w:rPr>
      <mc:AlternateContent>
        <mc:Choice Requires="wps">
          <w:drawing>
            <wp:anchor distT="0" distB="0" distL="0" distR="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2"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C79897">
                          <w:pPr>
                            <w:pStyle w:val="14"/>
                          </w:pPr>
                          <w:r>
                            <w:fldChar w:fldCharType="begin"/>
                          </w:r>
                          <w:r>
                            <w:instrText xml:space="preserve"> PAGE  \* MERGEFORMAT </w:instrText>
                          </w:r>
                          <w:r>
                            <w:fldChar w:fldCharType="separate"/>
                          </w:r>
                          <w:r>
                            <w:t>50</w:t>
                          </w:r>
                          <w:r>
                            <w:fldChar w:fldCharType="end"/>
                          </w:r>
                        </w:p>
                      </w:txbxContent>
                    </wps:txbx>
                    <wps:bodyPr vert="horz" wrap="none" lIns="0" tIns="0" rIns="0" bIns="0" anchor="t">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LoynwDKAQAAkgMAAA4AAAAAAAAAAQAgAAAAHwEAAGRycy9lMm9E&#10;b2MueG1sUEsFBgAAAAAGAAYAWQEAAFsFAAAAAA==&#10;">
              <v:fill on="f" focussize="0,0"/>
              <v:stroke on="f"/>
              <v:imagedata o:title=""/>
              <o:lock v:ext="edit" aspectratio="f"/>
              <v:textbox inset="0mm,0mm,0mm,0mm" style="mso-fit-shape-to-text:t;">
                <w:txbxContent>
                  <w:p w14:paraId="11C79897">
                    <w:pPr>
                      <w:pStyle w:val="14"/>
                    </w:pPr>
                    <w:r>
                      <w:fldChar w:fldCharType="begin"/>
                    </w:r>
                    <w:r>
                      <w:instrText xml:space="preserve"> PAGE  \* MERGEFORMAT </w:instrText>
                    </w:r>
                    <w:r>
                      <w:fldChar w:fldCharType="separate"/>
                    </w:r>
                    <w:r>
                      <w:t>50</w:t>
                    </w:r>
                    <w:r>
                      <w:fldChar w:fldCharType="end"/>
                    </w:r>
                  </w:p>
                </w:txbxContent>
              </v:textbox>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AC07E">
    <w:pPr>
      <w:spacing w:line="173" w:lineRule="auto"/>
      <w:rPr>
        <w:rFonts w:ascii="Times New Roman" w:hAnsi="Times New Roman" w:eastAsia="Times New Roman" w:cs="Times New Roman"/>
        <w:sz w:val="14"/>
        <w:szCs w:val="14"/>
      </w:rPr>
    </w:pPr>
    <w:r>
      <w:rPr>
        <w:sz w:val="14"/>
      </w:rPr>
      <mc:AlternateContent>
        <mc:Choice Requires="wps">
          <w:drawing>
            <wp:anchor distT="0" distB="0" distL="0" distR="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3"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8DD2C48">
                          <w:pPr>
                            <w:pStyle w:val="14"/>
                          </w:pPr>
                          <w:r>
                            <w:fldChar w:fldCharType="begin"/>
                          </w:r>
                          <w:r>
                            <w:instrText xml:space="preserve"> PAGE  \* MERGEFORMAT </w:instrText>
                          </w:r>
                          <w:r>
                            <w:fldChar w:fldCharType="separate"/>
                          </w:r>
                          <w:r>
                            <w:t>- 1 -</w:t>
                          </w:r>
                          <w:r>
                            <w:fldChar w:fldCharType="end"/>
                          </w:r>
                        </w:p>
                      </w:txbxContent>
                    </wps:txbx>
                    <wps:bodyPr vert="horz" wrap="none" lIns="0" tIns="0" rIns="0" bIns="0" anchor="t">
                      <a:spAutoFit/>
                    </wps:bodyPr>
                  </wps:wsp>
                </a:graphicData>
              </a:graphic>
            </wp:anchor>
          </w:drawing>
        </mc:Choice>
        <mc:Fallback>
          <w:pict>
            <v:rect id="文本框 19" o:spid="_x0000_s1026" o:spt="1"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tlrE8ywEAAJMDAAAOAAAAAAAAAAEAIAAAAB8BAABkcnMvZTJv&#10;RG9jLnhtbFBLBQYAAAAABgAGAFkBAABcBQAAAAA=&#10;">
              <v:fill on="f" focussize="0,0"/>
              <v:stroke on="f"/>
              <v:imagedata o:title=""/>
              <o:lock v:ext="edit" aspectratio="f"/>
              <v:textbox inset="0mm,0mm,0mm,0mm" style="mso-fit-shape-to-text:t;">
                <w:txbxContent>
                  <w:p w14:paraId="58DD2C48">
                    <w:pPr>
                      <w:pStyle w:val="14"/>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7C2BB">
    <w:pPr>
      <w:pStyle w:val="14"/>
      <w:rPr>
        <w:rFonts w:ascii="仿宋_GB2312" w:eastAsia="仿宋_GB2312"/>
        <w:szCs w:val="18"/>
      </w:rPr>
    </w:pPr>
    <w:r>
      <mc:AlternateContent>
        <mc:Choice Requires="wps">
          <w:drawing>
            <wp:anchor distT="0" distB="0" distL="0" distR="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4"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095F943">
                          <w:pPr>
                            <w:pStyle w:val="1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10" o:spid="_x0000_s1026" o:spt="1"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hoAxnKAQAAkwMAAA4AAAAAAAAAAQAgAAAAHwEAAGRycy9lMm9E&#10;b2MueG1sUEsFBgAAAAAGAAYAWQEAAFsFAAAAAA==&#10;">
              <v:fill on="f" focussize="0,0"/>
              <v:stroke on="f"/>
              <v:imagedata o:title=""/>
              <o:lock v:ext="edit" aspectratio="f"/>
              <v:textbox inset="0mm,0mm,0mm,0mm" style="mso-fit-shape-to-text:t;">
                <w:txbxContent>
                  <w:p w14:paraId="6095F943">
                    <w:pPr>
                      <w:pStyle w:val="1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p>
                </w:txbxContent>
              </v:textbox>
            </v:rect>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35635">
    <w:pPr>
      <w:spacing w:line="188"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5" name="文本框 2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FD8E512">
                          <w:pPr>
                            <w:pStyle w:val="1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53</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23" o:spid="_x0000_s1026" o:spt="1"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KxaraywEAAJMDAAAOAAAAAAAAAAEAIAAAAB8BAABkcnMvZTJv&#10;RG9jLnhtbFBLBQYAAAAABgAGAFkBAABcBQAAAAA=&#10;">
              <v:fill on="f" focussize="0,0"/>
              <v:stroke on="f"/>
              <v:imagedata o:title=""/>
              <o:lock v:ext="edit" aspectratio="f"/>
              <v:textbox inset="0mm,0mm,0mm,0mm" style="mso-fit-shape-to-text:t;">
                <w:txbxContent>
                  <w:p w14:paraId="1FD8E512">
                    <w:pPr>
                      <w:pStyle w:val="1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53</w:t>
                    </w:r>
                    <w:r>
                      <w:rPr>
                        <w:rFonts w:ascii="Times New Roman" w:hAnsi="Times New Roman" w:cs="Times New Roma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6AB9C">
    <w:pPr>
      <w:pStyle w:val="14"/>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5766B">
    <w:pPr>
      <w:pStyle w:val="14"/>
      <w:rPr>
        <w:rFonts w:ascii="仿宋_GB2312" w:eastAsia="仿宋_GB2312"/>
        <w:szCs w:val="24"/>
      </w:rPr>
    </w:pPr>
    <w:r>
      <mc:AlternateContent>
        <mc:Choice Requires="wps">
          <w:drawing>
            <wp:anchor distT="0" distB="0" distL="0" distR="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6"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EF387D8">
                          <w:pPr>
                            <w:pStyle w:val="14"/>
                          </w:pPr>
                          <w:r>
                            <w:fldChar w:fldCharType="begin"/>
                          </w:r>
                          <w:r>
                            <w:instrText xml:space="preserve"> PAGE  \* MERGEFORMAT </w:instrText>
                          </w:r>
                          <w:r>
                            <w:fldChar w:fldCharType="separate"/>
                          </w:r>
                          <w:r>
                            <w:t>58</w:t>
                          </w:r>
                          <w:r>
                            <w:fldChar w:fldCharType="end"/>
                          </w:r>
                        </w:p>
                      </w:txbxContent>
                    </wps:txbx>
                    <wps:bodyPr vert="horz" wrap="none" lIns="0" tIns="0" rIns="0" bIns="0" anchor="t">
                      <a:spAutoFit/>
                    </wps:bodyPr>
                  </wps:wsp>
                </a:graphicData>
              </a:graphic>
            </wp:anchor>
          </w:drawing>
        </mc:Choice>
        <mc:Fallback>
          <w:pict>
            <v:rect id="文本框 21" o:spid="_x0000_s1026" o:spt="1"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DAMWLjKAQAAkwMAAA4AAAAAAAAAAQAgAAAAHwEAAGRycy9lMm9E&#10;b2MueG1sUEsFBgAAAAAGAAYAWQEAAFsFAAAAAA==&#10;">
              <v:fill on="f" focussize="0,0"/>
              <v:stroke on="f"/>
              <v:imagedata o:title=""/>
              <o:lock v:ext="edit" aspectratio="f"/>
              <v:textbox inset="0mm,0mm,0mm,0mm" style="mso-fit-shape-to-text:t;">
                <w:txbxContent>
                  <w:p w14:paraId="3EF387D8">
                    <w:pPr>
                      <w:pStyle w:val="14"/>
                    </w:pPr>
                    <w:r>
                      <w:fldChar w:fldCharType="begin"/>
                    </w:r>
                    <w:r>
                      <w:instrText xml:space="preserve"> PAGE  \* MERGEFORMAT </w:instrText>
                    </w:r>
                    <w:r>
                      <w:fldChar w:fldCharType="separate"/>
                    </w:r>
                    <w:r>
                      <w:t>58</w:t>
                    </w:r>
                    <w:r>
                      <w:fldChar w:fldCharType="end"/>
                    </w:r>
                  </w:p>
                </w:txbxContent>
              </v:textbox>
            </v:rect>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8480C">
    <w:pPr>
      <w:pStyle w:val="14"/>
      <w:rPr>
        <w:rFonts w:ascii="仿宋_GB2312" w:eastAsia="仿宋_GB2312"/>
        <w:szCs w:val="18"/>
      </w:rPr>
    </w:pPr>
    <w:r>
      <mc:AlternateContent>
        <mc:Choice Requires="wps">
          <w:drawing>
            <wp:anchor distT="0" distB="0" distL="0" distR="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7" name="文本框 2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02F61B7">
                          <w:pPr>
                            <w:pStyle w:val="1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59</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22" o:spid="_x0000_s1026" o:spt="1"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yfGPHKAQAAkwMAAA4AAAAAAAAAAQAgAAAAHwEAAGRycy9lMm9E&#10;b2MueG1sUEsFBgAAAAAGAAYAWQEAAFsFAAAAAA==&#10;">
              <v:fill on="f" focussize="0,0"/>
              <v:stroke on="f"/>
              <v:imagedata o:title=""/>
              <o:lock v:ext="edit" aspectratio="f"/>
              <v:textbox inset="0mm,0mm,0mm,0mm" style="mso-fit-shape-to-text:t;">
                <w:txbxContent>
                  <w:p w14:paraId="102F61B7">
                    <w:pPr>
                      <w:pStyle w:val="1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59</w:t>
                    </w:r>
                    <w:r>
                      <w:rPr>
                        <w:rFonts w:ascii="Times New Roman" w:hAnsi="Times New Roman" w:cs="Times New Roman"/>
                      </w:rPr>
                      <w:fldChar w:fldCharType="end"/>
                    </w:r>
                  </w:p>
                </w:txbxContent>
              </v:textbox>
            </v:rect>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A8802">
    <w:pPr>
      <w:spacing w:line="186"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8"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8B6FCA2">
                          <w:pPr>
                            <w:pStyle w:val="14"/>
                          </w:pPr>
                          <w:r>
                            <w:fldChar w:fldCharType="begin"/>
                          </w:r>
                          <w:r>
                            <w:instrText xml:space="preserve"> PAGE  \* MERGEFORMAT </w:instrText>
                          </w:r>
                          <w:r>
                            <w:fldChar w:fldCharType="separate"/>
                          </w:r>
                          <w:r>
                            <w:t>- 1 -</w:t>
                          </w:r>
                          <w:r>
                            <w:fldChar w:fldCharType="end"/>
                          </w:r>
                        </w:p>
                      </w:txbxContent>
                    </wps:txbx>
                    <wps:bodyPr vert="horz" wrap="none" lIns="0" tIns="0" rIns="0" bIns="0" anchor="t">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zIxCMkBAACSAwAADgAAAAAAAAABACAAAAAfAQAAZHJzL2Uyb0Rv&#10;Yy54bWxQSwUGAAAAAAYABgBZAQAAWgUAAAAA&#10;">
              <v:fill on="f" focussize="0,0"/>
              <v:stroke on="f"/>
              <v:imagedata o:title=""/>
              <o:lock v:ext="edit" aspectratio="f"/>
              <v:textbox inset="0mm,0mm,0mm,0mm" style="mso-fit-shape-to-text:t;">
                <w:txbxContent>
                  <w:p w14:paraId="78B6FCA2">
                    <w:pPr>
                      <w:pStyle w:val="14"/>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8A406">
    <w:pPr>
      <w:pStyle w:val="14"/>
      <w:rPr>
        <w:rFonts w:ascii="仿宋_GB2312" w:eastAsia="仿宋_GB2312"/>
        <w:szCs w:val="18"/>
      </w:rPr>
    </w:pPr>
    <w:r>
      <mc:AlternateContent>
        <mc:Choice Requires="wps">
          <w:drawing>
            <wp:anchor distT="0" distB="0" distL="0" distR="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D4B1B98">
                          <w:pPr>
                            <w:pStyle w:val="1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63</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4V3zDKAQAAkgMAAA4AAAAAAAAAAQAgAAAAHwEAAGRycy9lMm9E&#10;b2MueG1sUEsFBgAAAAAGAAYAWQEAAFsFAAAAAA==&#10;">
              <v:fill on="f" focussize="0,0"/>
              <v:stroke on="f"/>
              <v:imagedata o:title=""/>
              <o:lock v:ext="edit" aspectratio="f"/>
              <v:textbox inset="0mm,0mm,0mm,0mm" style="mso-fit-shape-to-text:t;">
                <w:txbxContent>
                  <w:p w14:paraId="2D4B1B98">
                    <w:pPr>
                      <w:pStyle w:val="1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63</w:t>
                    </w:r>
                    <w:r>
                      <w:rPr>
                        <w:rFonts w:ascii="Times New Roman" w:hAnsi="Times New Roman" w:cs="Times New Roman"/>
                      </w:rPr>
                      <w:fldChar w:fldCharType="end"/>
                    </w:r>
                  </w:p>
                </w:txbxContent>
              </v:textbox>
            </v:rect>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1A1BD">
    <w:pPr>
      <w:spacing w:line="178" w:lineRule="auto"/>
      <w:ind w:left="4522"/>
      <w:rPr>
        <w:rFonts w:ascii="Calibri" w:hAnsi="Calibri" w:eastAsia="Calibri" w:cs="Calibri"/>
        <w:sz w:val="18"/>
        <w:szCs w:val="18"/>
      </w:rPr>
    </w:pPr>
    <w:r>
      <w:rPr>
        <w:sz w:val="18"/>
      </w:rPr>
      <mc:AlternateContent>
        <mc:Choice Requires="wps">
          <w:drawing>
            <wp:anchor distT="0" distB="0" distL="0" distR="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0"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8BFD77D">
                          <w:pPr>
                            <w:pStyle w:val="14"/>
                            <w:rPr>
                              <w:rFonts w:ascii="Times New Roman" w:hAnsi="Times New Roman" w:cs="Times New Roman"/>
                            </w:rPr>
                          </w:pPr>
                          <w:r>
                            <w:fldChar w:fldCharType="begin"/>
                          </w:r>
                          <w:r>
                            <w:instrText xml:space="preserve"> PAGE  \* MERGEFORMAT </w:instrText>
                          </w:r>
                          <w:r>
                            <w:fldChar w:fldCharType="separate"/>
                          </w:r>
                          <w:r>
                            <w:t>67</w:t>
                          </w:r>
                          <w:r>
                            <w:fldChar w:fldCharType="end"/>
                          </w:r>
                        </w:p>
                      </w:txbxContent>
                    </wps:txbx>
                    <wps:bodyPr vert="horz" wrap="none" lIns="0" tIns="0" rIns="0" bIns="0" anchor="t">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9KdSbJAQAAkgMAAA4AAABkcnMvZTJvRG9jLnhtbK1TzY7TMBC+I/EO&#10;lu80aYVQiZ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avlysyxQlLb375+ePy68/l&#10;93f2NjnUB6zo4H24gylDCpPcoQWbviSEDdnV89VVNUQmaXO5Xq3XJWFLqs0J4RQP1wNgfK+8ZSmo&#10;OdCzZTfF6SPG8eh8JHUzLq3O32pjxmraKRLNkViK4rAfJrZ735xJJQ09gXcevnHW05PX3NGEc2Y+&#10;OHI0TcccwBzs50A4SRdrPvLC8O4YqX3mlpqNHSYO9FRZ3TRWaRYe5/nUw6+0/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n0p1JskBAACSAwAADgAAAAAAAAABACAAAAAfAQAAZHJzL2Uyb0Rv&#10;Yy54bWxQSwUGAAAAAAYABgBZAQAAWgUAAAAA&#10;">
              <v:fill on="f" focussize="0,0"/>
              <v:stroke on="f"/>
              <v:imagedata o:title=""/>
              <o:lock v:ext="edit" aspectratio="f"/>
              <v:textbox inset="0mm,0mm,0mm,0mm" style="mso-fit-shape-to-text:t;">
                <w:txbxContent>
                  <w:p w14:paraId="08BFD77D">
                    <w:pPr>
                      <w:pStyle w:val="14"/>
                      <w:rPr>
                        <w:rFonts w:ascii="Times New Roman" w:hAnsi="Times New Roman" w:cs="Times New Roman"/>
                      </w:rPr>
                    </w:pPr>
                    <w:r>
                      <w:fldChar w:fldCharType="begin"/>
                    </w:r>
                    <w:r>
                      <w:instrText xml:space="preserve"> PAGE  \* MERGEFORMAT </w:instrText>
                    </w:r>
                    <w:r>
                      <w:fldChar w:fldCharType="separate"/>
                    </w:r>
                    <w:r>
                      <w:t>67</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B2C83">
    <w:pPr>
      <w:spacing w:line="192" w:lineRule="auto"/>
      <w:rPr>
        <w:rFonts w:ascii="Times New Roman" w:hAnsi="Times New Roman" w:eastAsia="Times New Roman" w:cs="Times New Roman"/>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B7DC7">
    <w:pPr>
      <w:spacing w:line="188"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09550" cy="137795"/>
              <wp:effectExtent l="0" t="0" r="0" b="0"/>
              <wp:wrapNone/>
              <wp:docPr id="4099" name="文本框 15"/>
              <wp:cNvGraphicFramePr/>
              <a:graphic xmlns:a="http://schemas.openxmlformats.org/drawingml/2006/main">
                <a:graphicData uri="http://schemas.microsoft.com/office/word/2010/wordprocessingShape">
                  <wps:wsp>
                    <wps:cNvSpPr/>
                    <wps:spPr>
                      <a:xfrm>
                        <a:off x="0" y="0"/>
                        <a:ext cx="209550" cy="137795"/>
                      </a:xfrm>
                      <a:prstGeom prst="rect">
                        <a:avLst/>
                      </a:prstGeom>
                      <a:ln>
                        <a:noFill/>
                      </a:ln>
                    </wps:spPr>
                    <wps:txbx>
                      <w:txbxContent>
                        <w:p w14:paraId="25DAB725">
                          <w:pPr>
                            <w:pStyle w:val="14"/>
                          </w:pPr>
                          <w:r>
                            <w:fldChar w:fldCharType="begin"/>
                          </w:r>
                          <w:r>
                            <w:instrText xml:space="preserve"> PAGE  \* MERGEFORMAT </w:instrText>
                          </w:r>
                          <w:r>
                            <w:fldChar w:fldCharType="separate"/>
                          </w:r>
                          <w:r>
                            <w:t>12</w:t>
                          </w:r>
                          <w:r>
                            <w:fldChar w:fldCharType="end"/>
                          </w:r>
                        </w:p>
                      </w:txbxContent>
                    </wps:txbx>
                    <wps:bodyPr vert="horz" wrap="square" lIns="0" tIns="0" rIns="0" bIns="0" anchor="t">
                      <a:noAutofit/>
                    </wps:bodyPr>
                  </wps:wsp>
                </a:graphicData>
              </a:graphic>
            </wp:anchor>
          </w:drawing>
        </mc:Choice>
        <mc:Fallback>
          <w:pict>
            <v:rect id="文本框 15" o:spid="_x0000_s1026" o:spt="1" style="position:absolute;left:0pt;margin-top:0pt;height:10.85pt;width:16.5pt;mso-position-horizontal:center;mso-position-horizontal-relative:margin;z-index:251659264;mso-width-relative:page;mso-height-relative:page;" filled="f" stroked="f" coordsize="21600,21600" o:gfxdata="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rCFjtUAAAADAQAADwAAAAAAAAABACAAAAAiAAAA&#10;ZHJzL2Rvd25yZXYueG1sUEsBAhQAFAAAAAgAh07iQI4pikDRAQAAkwMAAA4AAAAAAAAAAQAgAAAA&#10;JAEAAGRycy9lMm9Eb2MueG1sUEsFBgAAAAAGAAYAWQEAAGcFAAAAAA==&#10;">
              <v:fill on="f" focussize="0,0"/>
              <v:stroke on="f"/>
              <v:imagedata o:title=""/>
              <o:lock v:ext="edit" aspectratio="f"/>
              <v:textbox inset="0mm,0mm,0mm,0mm">
                <w:txbxContent>
                  <w:p w14:paraId="25DAB725">
                    <w:pPr>
                      <w:pStyle w:val="14"/>
                    </w:pPr>
                    <w:r>
                      <w:fldChar w:fldCharType="begin"/>
                    </w:r>
                    <w:r>
                      <w:instrText xml:space="preserve"> PAGE  \* MERGEFORMAT </w:instrText>
                    </w:r>
                    <w:r>
                      <w:fldChar w:fldCharType="separate"/>
                    </w:r>
                    <w:r>
                      <w:t>12</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23D59">
    <w:pPr>
      <w:spacing w:line="172" w:lineRule="auto"/>
      <w:rPr>
        <w:rFonts w:ascii="Times New Roman" w:hAnsi="Times New Roman" w:eastAsia="Times New Roman" w:cs="Times New Roman"/>
        <w:sz w:val="13"/>
        <w:szCs w:val="13"/>
      </w:rPr>
    </w:pPr>
    <w:r>
      <w:rPr>
        <w:sz w:val="13"/>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B7EE1A">
                          <w:pPr>
                            <w:pStyle w:val="14"/>
                          </w:pPr>
                          <w:r>
                            <w:fldChar w:fldCharType="begin"/>
                          </w:r>
                          <w:r>
                            <w:instrText xml:space="preserve"> PAGE  \* MERGEFORMAT </w:instrText>
                          </w:r>
                          <w:r>
                            <w:fldChar w:fldCharType="separate"/>
                          </w:r>
                          <w:r>
                            <w:t>16</w:t>
                          </w:r>
                          <w:r>
                            <w:fldChar w:fldCharType="end"/>
                          </w:r>
                        </w:p>
                      </w:txbxContent>
                    </wps:txbx>
                    <wps:bodyPr vert="horz" wrap="none" lIns="0" tIns="0" rIns="0" bIns="0" anchor="t">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ZEMcNyAEAAJIDAAAOAAAAAAAAAAEAIAAAAB8BAABkcnMvZTJvRG9j&#10;LnhtbFBLBQYAAAAABgAGAFkBAABZBQAAAAA=&#10;">
              <v:fill on="f" focussize="0,0"/>
              <v:stroke on="f"/>
              <v:imagedata o:title=""/>
              <o:lock v:ext="edit" aspectratio="f"/>
              <v:textbox inset="0mm,0mm,0mm,0mm" style="mso-fit-shape-to-text:t;">
                <w:txbxContent>
                  <w:p w14:paraId="3DB7EE1A">
                    <w:pPr>
                      <w:pStyle w:val="14"/>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B9189">
    <w:pPr>
      <w:spacing w:line="178" w:lineRule="auto"/>
      <w:ind w:left="4166"/>
      <w:rPr>
        <w:rFonts w:ascii="Calibri" w:hAnsi="Calibri" w:eastAsia="Calibri" w:cs="Calibri"/>
        <w:sz w:val="18"/>
        <w:szCs w:val="18"/>
      </w:rPr>
    </w:pPr>
    <w:r>
      <w:rPr>
        <w:sz w:val="18"/>
      </w:rPr>
      <mc:AlternateContent>
        <mc:Choice Requires="wps">
          <w:drawing>
            <wp:anchor distT="0" distB="0" distL="0" distR="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D09C268">
                          <w:pPr>
                            <w:pStyle w:val="14"/>
                          </w:pPr>
                          <w:r>
                            <w:fldChar w:fldCharType="begin"/>
                          </w:r>
                          <w:r>
                            <w:instrText xml:space="preserve"> PAGE  \* MERGEFORMAT </w:instrText>
                          </w:r>
                          <w:r>
                            <w:fldChar w:fldCharType="separate"/>
                          </w:r>
                          <w:r>
                            <w:t>- 12 -</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fcjLJAQAAkgMAAA4AAABkcnMvZTJvRG9jLnhtbK1TzY7TMBC+I/EO&#10;lu80aQW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l+WKMycsvfnl54/Lrz+X&#10;39/Zm+RQH7Cig/fhDqYMKUxyhxZs+pIQNmRXz1dX1RCZpM3lerVel2S4pNqcEE7xcD0AxvfKW5aC&#10;mgM9W3ZTnD5iHI/OR1I349Lq/K02ZqymnSLRHImlKA77YWK7982ZVNLQE3jn4RtnPT15zR1NOGfm&#10;gyNH03TMAczBfg6Ek3Sx5iMvDO+OkdpnbqnZ2GHiQE+V1U1jlWbhcZ5PPfxK2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z99yMskBAACSAwAADgAAAAAAAAABACAAAAAfAQAAZHJzL2Uyb0Rv&#10;Yy54bWxQSwUGAAAAAAYABgBZAQAAWgUAAAAA&#10;">
              <v:fill on="f" focussize="0,0"/>
              <v:stroke on="f"/>
              <v:imagedata o:title=""/>
              <o:lock v:ext="edit" aspectratio="f"/>
              <v:textbox inset="0mm,0mm,0mm,0mm" style="mso-fit-shape-to-text:t;">
                <w:txbxContent>
                  <w:p w14:paraId="0D09C268">
                    <w:pPr>
                      <w:pStyle w:val="14"/>
                    </w:pPr>
                    <w:r>
                      <w:fldChar w:fldCharType="begin"/>
                    </w:r>
                    <w:r>
                      <w:instrText xml:space="preserve"> PAGE  \* MERGEFORMAT </w:instrText>
                    </w:r>
                    <w:r>
                      <w:fldChar w:fldCharType="separate"/>
                    </w:r>
                    <w:r>
                      <w:t>- 12 -</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EDD8">
    <w:pPr>
      <w:spacing w:line="178" w:lineRule="auto"/>
      <w:ind w:left="4166"/>
      <w:rPr>
        <w:rFonts w:ascii="Calibri" w:hAnsi="Calibri" w:eastAsia="Calibri" w:cs="Calibri"/>
        <w:sz w:val="18"/>
        <w:szCs w:val="18"/>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04D5BFA">
                          <w:pPr>
                            <w:pStyle w:val="1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35</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AExv3KAQAAkgMAAA4AAABkcnMvZTJvRG9jLnhtbK1TzY7TMBC+I/EO&#10;lu80aRehKm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avl+UNZ05YevPLj++Xn78v&#10;v76xm+RQH7Cigw/hHqYMKUxyhxZs+pIQNmRXz1dX1RCZpM3lerVel2S4pNqcEE7xeD0AxnfKW5aC&#10;mgM9W3ZTnD5gHI/OR1I349Lq/J02ZqymnSLRHImlKA77YWK7982ZVNLQE3jn4StnPT15zR1NOGfm&#10;vSNH03TMAczBfg6Ek3Sx5iMvDG+PkdpnbqnZ2GHiQE+V1U1jlWbh7zyfevyV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AAExv3KAQAAkgMAAA4AAAAAAAAAAQAgAAAAHwEAAGRycy9lMm9E&#10;b2MueG1sUEsFBgAAAAAGAAYAWQEAAFsFAAAAAA==&#10;">
              <v:fill on="f" focussize="0,0"/>
              <v:stroke on="f"/>
              <v:imagedata o:title=""/>
              <o:lock v:ext="edit" aspectratio="f"/>
              <v:textbox inset="0mm,0mm,0mm,0mm" style="mso-fit-shape-to-text:t;">
                <w:txbxContent>
                  <w:p w14:paraId="704D5BFA">
                    <w:pPr>
                      <w:pStyle w:val="1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35</w:t>
                    </w:r>
                    <w:r>
                      <w:rPr>
                        <w:rFonts w:ascii="Times New Roman" w:hAnsi="Times New Roman" w:cs="Times New Roman"/>
                      </w:rP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FB5F2">
    <w:pPr>
      <w:spacing w:line="173" w:lineRule="auto"/>
      <w:ind w:left="4590"/>
      <w:rPr>
        <w:rFonts w:ascii="Times New Roman" w:hAnsi="Times New Roman" w:eastAsia="Times New Roman" w:cs="Times New Roman"/>
        <w:sz w:val="14"/>
        <w:szCs w:val="14"/>
      </w:rPr>
    </w:pPr>
    <w:r>
      <w:rPr>
        <w:sz w:val="14"/>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8D931A">
                          <w:pPr>
                            <w:pStyle w:val="14"/>
                          </w:pPr>
                          <w:r>
                            <w:fldChar w:fldCharType="begin"/>
                          </w:r>
                          <w:r>
                            <w:instrText xml:space="preserve"> PAGE  \* MERGEFORMAT </w:instrText>
                          </w:r>
                          <w:r>
                            <w:fldChar w:fldCharType="separate"/>
                          </w:r>
                          <w:r>
                            <w:t>36</w:t>
                          </w:r>
                          <w:r>
                            <w:fldChar w:fldCharType="end"/>
                          </w:r>
                        </w:p>
                      </w:txbxContent>
                    </wps:txbx>
                    <wps:bodyPr vert="horz" wrap="none" lIns="0" tIns="0" rIns="0" bIns="0" anchor="t">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pqedGywEAAJMDAAAOAAAAAAAAAAEAIAAAAB8BAABkcnMvZTJv&#10;RG9jLnhtbFBLBQYAAAAABgAGAFkBAABcBQAAAAA=&#10;">
              <v:fill on="f" focussize="0,0"/>
              <v:stroke on="f"/>
              <v:imagedata o:title=""/>
              <o:lock v:ext="edit" aspectratio="f"/>
              <v:textbox inset="0mm,0mm,0mm,0mm" style="mso-fit-shape-to-text:t;">
                <w:txbxContent>
                  <w:p w14:paraId="7B8D931A">
                    <w:pPr>
                      <w:pStyle w:val="14"/>
                    </w:pPr>
                    <w:r>
                      <w:fldChar w:fldCharType="begin"/>
                    </w:r>
                    <w:r>
                      <w:instrText xml:space="preserve"> PAGE  \* MERGEFORMAT </w:instrText>
                    </w:r>
                    <w:r>
                      <w:fldChar w:fldCharType="separate"/>
                    </w:r>
                    <w:r>
                      <w:t>36</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2BA6E">
    <w:pPr>
      <w:spacing w:line="173" w:lineRule="auto"/>
      <w:ind w:left="4590"/>
      <w:rPr>
        <w:rFonts w:ascii="Times New Roman" w:hAnsi="Times New Roman" w:eastAsia="Times New Roman" w:cs="Times New Roman"/>
        <w:sz w:val="14"/>
        <w:szCs w:val="14"/>
      </w:rPr>
    </w:pPr>
    <w:r>
      <w:rPr>
        <w:sz w:val="14"/>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E6D8A0A">
                          <w:pPr>
                            <w:pStyle w:val="14"/>
                          </w:pPr>
                          <w:r>
                            <w:fldChar w:fldCharType="begin"/>
                          </w:r>
                          <w:r>
                            <w:instrText xml:space="preserve"> PAGE  \* MERGEFORMAT </w:instrText>
                          </w:r>
                          <w:r>
                            <w:fldChar w:fldCharType="separate"/>
                          </w:r>
                          <w:r>
                            <w:t>37</w:t>
                          </w:r>
                          <w:r>
                            <w:fldChar w:fldCharType="end"/>
                          </w:r>
                        </w:p>
                      </w:txbxContent>
                    </wps:txbx>
                    <wps:bodyPr vert="horz" wrap="none" lIns="0" tIns="0" rIns="0" bIns="0" anchor="t">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wxGM6ywEAAJMDAAAOAAAAAAAAAAEAIAAAAB8BAABkcnMvZTJv&#10;RG9jLnhtbFBLBQYAAAAABgAGAFkBAABcBQAAAAA=&#10;">
              <v:fill on="f" focussize="0,0"/>
              <v:stroke on="f"/>
              <v:imagedata o:title=""/>
              <o:lock v:ext="edit" aspectratio="f"/>
              <v:textbox inset="0mm,0mm,0mm,0mm" style="mso-fit-shape-to-text:t;">
                <w:txbxContent>
                  <w:p w14:paraId="5E6D8A0A">
                    <w:pPr>
                      <w:pStyle w:val="14"/>
                    </w:pPr>
                    <w:r>
                      <w:fldChar w:fldCharType="begin"/>
                    </w:r>
                    <w:r>
                      <w:instrText xml:space="preserve"> PAGE  \* MERGEFORMAT </w:instrText>
                    </w:r>
                    <w:r>
                      <w:fldChar w:fldCharType="separate"/>
                    </w:r>
                    <w:r>
                      <w:t>37</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F7C4">
    <w:pPr>
      <w:pStyle w:val="15"/>
      <w:tabs>
        <w:tab w:val="left" w:pos="6240"/>
        <w:tab w:val="clear" w:pos="8306"/>
      </w:tabs>
      <w:rPr>
        <w:rFonts w:eastAsia="宋体"/>
        <w:szCs w:val="18"/>
        <w:u w:val="single"/>
      </w:rPr>
    </w:pPr>
    <w:r>
      <w:rPr>
        <w:rFonts w:hint="eastAsia" w:eastAsia="宋体"/>
        <w:szCs w:val="18"/>
        <w:u w:val="single"/>
      </w:rPr>
      <w:t xml:space="preserve">杭州市城市建设投资集团有限公司 </w:t>
    </w:r>
    <w:r>
      <w:rPr>
        <w:rFonts w:hint="eastAsia" w:eastAsia="宋体"/>
        <w:szCs w:val="18"/>
        <w:u w:val="single"/>
      </w:rPr>
      <w:tab/>
    </w:r>
    <w:r>
      <w:rPr>
        <w:rFonts w:hint="eastAsia" w:eastAsia="宋体"/>
        <w:szCs w:val="18"/>
        <w:u w:val="single"/>
      </w:rPr>
      <w:tab/>
    </w:r>
    <w:r>
      <w:rPr>
        <w:rFonts w:hint="eastAsia" w:eastAsia="宋体"/>
        <w:szCs w:val="18"/>
        <w:u w:val="single"/>
      </w:rPr>
      <w:tab/>
    </w:r>
    <w:r>
      <w:rPr>
        <w:rFonts w:hint="eastAsia" w:eastAsia="宋体"/>
        <w:szCs w:val="18"/>
        <w:u w:val="single"/>
      </w:rPr>
      <w:t>小额工程（施工）交易文件示范文本</w:t>
    </w:r>
  </w:p>
  <w:p w14:paraId="4797F1B1">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C3A9">
    <w:pPr>
      <w:pStyle w:val="15"/>
      <w:tabs>
        <w:tab w:val="left" w:pos="6240"/>
        <w:tab w:val="clear" w:pos="8306"/>
      </w:tabs>
      <w:rPr>
        <w:rFonts w:eastAsia="宋体"/>
        <w:szCs w:val="18"/>
        <w:u w:val="single"/>
      </w:rPr>
    </w:pPr>
    <w:r>
      <w:rPr>
        <w:rFonts w:hint="eastAsia" w:eastAsia="宋体"/>
        <w:szCs w:val="18"/>
        <w:u w:val="single"/>
      </w:rPr>
      <w:t xml:space="preserve">杭州市城市建设投资集团有限公司 </w:t>
    </w:r>
    <w:r>
      <w:rPr>
        <w:rFonts w:hint="eastAsia" w:eastAsia="宋体"/>
        <w:szCs w:val="18"/>
        <w:u w:val="single"/>
      </w:rPr>
      <w:tab/>
    </w:r>
    <w:r>
      <w:rPr>
        <w:rFonts w:hint="eastAsia" w:eastAsia="宋体"/>
        <w:szCs w:val="18"/>
        <w:u w:val="single"/>
      </w:rPr>
      <w:tab/>
    </w:r>
    <w:r>
      <w:rPr>
        <w:rFonts w:hint="eastAsia" w:eastAsia="宋体"/>
        <w:szCs w:val="18"/>
        <w:u w:val="single"/>
      </w:rPr>
      <w:tab/>
    </w:r>
    <w:r>
      <w:rPr>
        <w:rFonts w:hint="eastAsia" w:eastAsia="宋体"/>
        <w:szCs w:val="18"/>
        <w:u w:val="single"/>
      </w:rPr>
      <w:t>小额工程（施工）交易文件示范文本</w:t>
    </w:r>
  </w:p>
  <w:p w14:paraId="1FEC3FF1">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EF015">
    <w:pPr>
      <w:pStyle w:val="15"/>
      <w:tabs>
        <w:tab w:val="left" w:pos="6240"/>
        <w:tab w:val="clear" w:pos="8306"/>
      </w:tabs>
      <w:rPr>
        <w:rFonts w:eastAsia="宋体"/>
        <w:szCs w:val="18"/>
        <w:u w:val="single"/>
      </w:rPr>
    </w:pPr>
    <w:r>
      <w:rPr>
        <w:rFonts w:hint="eastAsia" w:eastAsia="宋体"/>
        <w:szCs w:val="18"/>
        <w:u w:val="single"/>
      </w:rPr>
      <w:t xml:space="preserve">杭州市城市建设投资集团有限公司 </w:t>
    </w:r>
    <w:r>
      <w:rPr>
        <w:rFonts w:hint="eastAsia" w:eastAsia="宋体"/>
        <w:szCs w:val="18"/>
        <w:u w:val="single"/>
      </w:rPr>
      <w:tab/>
    </w:r>
    <w:r>
      <w:rPr>
        <w:rFonts w:hint="eastAsia" w:eastAsia="宋体"/>
        <w:szCs w:val="18"/>
        <w:u w:val="single"/>
      </w:rPr>
      <w:tab/>
    </w:r>
    <w:r>
      <w:rPr>
        <w:rFonts w:hint="eastAsia" w:eastAsia="宋体"/>
        <w:szCs w:val="18"/>
        <w:u w:val="single"/>
      </w:rPr>
      <w:tab/>
    </w:r>
    <w:r>
      <w:rPr>
        <w:rFonts w:hint="eastAsia" w:eastAsia="宋体"/>
        <w:szCs w:val="18"/>
        <w:u w:val="single"/>
      </w:rPr>
      <w:t>小额工程（施工）交易文件示范文本</w:t>
    </w:r>
  </w:p>
  <w:p w14:paraId="262F3813">
    <w:pPr>
      <w:pStyle w:val="15"/>
      <w:rPr>
        <w:rFonts w:eastAsia="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9D0B2">
    <w:pPr>
      <w:pStyle w:val="15"/>
      <w:tabs>
        <w:tab w:val="left" w:pos="6240"/>
        <w:tab w:val="clear" w:pos="8306"/>
      </w:tabs>
      <w:rPr>
        <w:rFonts w:eastAsia="宋体"/>
        <w:szCs w:val="18"/>
        <w:u w:val="single"/>
      </w:rPr>
    </w:pPr>
    <w:r>
      <w:rPr>
        <w:rFonts w:hint="eastAsia" w:eastAsia="宋体"/>
        <w:szCs w:val="18"/>
        <w:u w:val="single"/>
      </w:rPr>
      <w:t xml:space="preserve">杭州市城市建设投资集团有限公司 </w:t>
    </w:r>
    <w:r>
      <w:rPr>
        <w:rFonts w:hint="eastAsia" w:eastAsia="宋体"/>
        <w:szCs w:val="18"/>
        <w:u w:val="single"/>
      </w:rPr>
      <w:tab/>
    </w:r>
    <w:r>
      <w:rPr>
        <w:rFonts w:hint="eastAsia" w:eastAsia="宋体"/>
        <w:szCs w:val="18"/>
        <w:u w:val="single"/>
      </w:rPr>
      <w:tab/>
    </w:r>
    <w:r>
      <w:rPr>
        <w:rFonts w:hint="eastAsia" w:eastAsia="宋体"/>
        <w:szCs w:val="18"/>
        <w:u w:val="single"/>
      </w:rPr>
      <w:tab/>
    </w:r>
    <w:r>
      <w:rPr>
        <w:rFonts w:hint="eastAsia" w:eastAsia="宋体"/>
        <w:szCs w:val="18"/>
        <w:u w:val="single"/>
      </w:rPr>
      <w:t>小额工程（施工）交易文件示范文本</w:t>
    </w:r>
  </w:p>
  <w:p w14:paraId="6FA22F28">
    <w:pPr>
      <w:pStyle w:val="15"/>
      <w:rPr>
        <w:rFonts w:eastAsia="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89FAF">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F2D95">
    <w:pPr>
      <w:pStyle w:val="15"/>
      <w:tabs>
        <w:tab w:val="left" w:pos="6240"/>
        <w:tab w:val="clear" w:pos="8306"/>
      </w:tabs>
      <w:rPr>
        <w:rFonts w:eastAsia="宋体"/>
        <w:szCs w:val="18"/>
        <w:u w:val="single"/>
      </w:rPr>
    </w:pPr>
    <w:r>
      <w:rPr>
        <w:rFonts w:hint="eastAsia" w:eastAsia="宋体"/>
        <w:szCs w:val="18"/>
        <w:u w:val="single"/>
      </w:rPr>
      <w:t xml:space="preserve">杭州市城市建设投资集团有限公司 </w:t>
    </w:r>
    <w:r>
      <w:rPr>
        <w:rFonts w:hint="eastAsia" w:eastAsia="宋体"/>
        <w:szCs w:val="18"/>
        <w:u w:val="single"/>
      </w:rPr>
      <w:tab/>
    </w:r>
    <w:r>
      <w:rPr>
        <w:rFonts w:hint="eastAsia" w:eastAsia="宋体"/>
        <w:szCs w:val="18"/>
        <w:u w:val="single"/>
      </w:rPr>
      <w:tab/>
    </w:r>
    <w:r>
      <w:rPr>
        <w:rFonts w:hint="eastAsia" w:eastAsia="宋体"/>
        <w:szCs w:val="18"/>
        <w:u w:val="single"/>
      </w:rPr>
      <w:tab/>
    </w:r>
    <w:r>
      <w:rPr>
        <w:rFonts w:hint="eastAsia" w:eastAsia="宋体"/>
        <w:szCs w:val="18"/>
        <w:u w:val="single"/>
      </w:rPr>
      <w:t>小额工程（施工）交易文件示范文本</w:t>
    </w:r>
  </w:p>
  <w:p w14:paraId="3D1CE41C">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1D2BD">
    <w:pPr>
      <w:pStyle w:val="15"/>
      <w:tabs>
        <w:tab w:val="left" w:pos="6240"/>
        <w:tab w:val="clear" w:pos="8306"/>
      </w:tabs>
      <w:rPr>
        <w:rFonts w:eastAsia="宋体"/>
        <w:szCs w:val="18"/>
        <w:u w:val="single"/>
      </w:rPr>
    </w:pPr>
    <w:r>
      <w:rPr>
        <w:rFonts w:hint="eastAsia" w:eastAsia="宋体"/>
        <w:szCs w:val="18"/>
        <w:u w:val="single"/>
      </w:rPr>
      <w:t xml:space="preserve">杭州市城市建设投资集团有限公司 </w:t>
    </w:r>
    <w:r>
      <w:rPr>
        <w:rFonts w:hint="eastAsia" w:eastAsia="宋体"/>
        <w:szCs w:val="18"/>
        <w:u w:val="single"/>
      </w:rPr>
      <w:tab/>
    </w:r>
    <w:r>
      <w:rPr>
        <w:rFonts w:hint="eastAsia" w:eastAsia="宋体"/>
        <w:szCs w:val="18"/>
        <w:u w:val="single"/>
      </w:rPr>
      <w:tab/>
    </w:r>
    <w:r>
      <w:rPr>
        <w:rFonts w:hint="eastAsia" w:eastAsia="宋体"/>
        <w:szCs w:val="18"/>
        <w:u w:val="single"/>
      </w:rPr>
      <w:tab/>
    </w:r>
    <w:r>
      <w:rPr>
        <w:rFonts w:hint="eastAsia" w:eastAsia="宋体"/>
        <w:szCs w:val="18"/>
        <w:u w:val="single"/>
      </w:rPr>
      <w:t>小额工程（施工）交易文件示范文本</w:t>
    </w:r>
  </w:p>
  <w:p w14:paraId="139ED27A">
    <w:pPr>
      <w:pStyle w:val="15"/>
      <w:pBdr>
        <w:bottom w:val="none" w:color="auto" w:sz="0" w:space="0"/>
      </w:pBdr>
      <w:tabs>
        <w:tab w:val="clear" w:pos="4153"/>
        <w:tab w:val="clear" w:pos="8306"/>
      </w:tabs>
      <w:jc w:val="right"/>
      <w:rPr>
        <w:rFonts w:ascii="仿宋_GB2312"/>
        <w:b/>
        <w:i/>
        <w:iCs/>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5ED2B">
    <w:pPr>
      <w:pStyle w:val="15"/>
      <w:tabs>
        <w:tab w:val="left" w:pos="6240"/>
        <w:tab w:val="clear" w:pos="8306"/>
      </w:tabs>
      <w:rPr>
        <w:rFonts w:eastAsia="宋体"/>
        <w:szCs w:val="18"/>
        <w:u w:val="single"/>
      </w:rPr>
    </w:pPr>
    <w:r>
      <w:rPr>
        <w:rFonts w:hint="eastAsia" w:eastAsia="宋体"/>
        <w:szCs w:val="18"/>
        <w:u w:val="single"/>
      </w:rPr>
      <w:t xml:space="preserve">杭州市城市建设投资集团有限公司 </w:t>
    </w:r>
    <w:r>
      <w:rPr>
        <w:rFonts w:hint="eastAsia" w:eastAsia="宋体"/>
        <w:szCs w:val="18"/>
        <w:u w:val="single"/>
      </w:rPr>
      <w:tab/>
    </w:r>
    <w:r>
      <w:rPr>
        <w:rFonts w:hint="eastAsia" w:eastAsia="宋体"/>
        <w:szCs w:val="18"/>
        <w:u w:val="single"/>
      </w:rPr>
      <w:tab/>
    </w:r>
    <w:r>
      <w:rPr>
        <w:rFonts w:hint="eastAsia" w:eastAsia="宋体"/>
        <w:szCs w:val="18"/>
        <w:u w:val="single"/>
      </w:rPr>
      <w:tab/>
    </w:r>
    <w:r>
      <w:rPr>
        <w:rFonts w:hint="eastAsia" w:eastAsia="宋体"/>
        <w:szCs w:val="18"/>
        <w:u w:val="single"/>
      </w:rPr>
      <w:t>小额工程（施工）交易文件示范文本</w:t>
    </w:r>
  </w:p>
  <w:p w14:paraId="73229D3E">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D8E616"/>
    <w:multiLevelType w:val="singleLevel"/>
    <w:tmpl w:val="D8D8E616"/>
    <w:lvl w:ilvl="0" w:tentative="0">
      <w:start w:val="1"/>
      <w:numFmt w:val="decimalEnclosedCircleChinese"/>
      <w:suff w:val="nothing"/>
      <w:lvlText w:val="%1　"/>
      <w:lvlJc w:val="left"/>
      <w:pPr>
        <w:ind w:left="-391" w:firstLine="397"/>
      </w:pPr>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3"/>
    <w:multiLevelType w:val="singleLevel"/>
    <w:tmpl w:val="00000003"/>
    <w:lvl w:ilvl="0" w:tentative="0">
      <w:start w:val="1"/>
      <w:numFmt w:val="decimal"/>
      <w:suff w:val="nothing"/>
      <w:lvlText w:val="(%1)"/>
      <w:lvlJc w:val="left"/>
      <w:pPr>
        <w:ind w:left="425" w:hanging="425"/>
      </w:pPr>
      <w:rPr>
        <w:rFonts w:hint="default"/>
      </w:rPr>
    </w:lvl>
  </w:abstractNum>
  <w:abstractNum w:abstractNumId="3">
    <w:nsid w:val="00000004"/>
    <w:multiLevelType w:val="singleLevel"/>
    <w:tmpl w:val="00000004"/>
    <w:lvl w:ilvl="0" w:tentative="0">
      <w:start w:val="1"/>
      <w:numFmt w:val="decimal"/>
      <w:suff w:val="space"/>
      <w:lvlText w:val="%1."/>
      <w:lvlJc w:val="left"/>
    </w:lvl>
  </w:abstractNum>
  <w:abstractNum w:abstractNumId="4">
    <w:nsid w:val="00000005"/>
    <w:multiLevelType w:val="singleLevel"/>
    <w:tmpl w:val="00000005"/>
    <w:lvl w:ilvl="0" w:tentative="0">
      <w:start w:val="1"/>
      <w:numFmt w:val="lowerLetter"/>
      <w:lvlText w:val="%1."/>
      <w:lvlJc w:val="left"/>
      <w:pPr>
        <w:ind w:left="425" w:hanging="425"/>
      </w:pPr>
      <w:rPr>
        <w:rFonts w:hint="default"/>
      </w:rPr>
    </w:lvl>
  </w:abstractNum>
  <w:abstractNum w:abstractNumId="5">
    <w:nsid w:val="00000006"/>
    <w:multiLevelType w:val="singleLevel"/>
    <w:tmpl w:val="00000006"/>
    <w:lvl w:ilvl="0" w:tentative="0">
      <w:start w:val="1"/>
      <w:numFmt w:val="decimal"/>
      <w:lvlText w:val="%1"/>
      <w:lvlJc w:val="left"/>
      <w:pPr>
        <w:tabs>
          <w:tab w:val="left" w:pos="420"/>
        </w:tabs>
        <w:ind w:left="665" w:hanging="425"/>
      </w:pPr>
      <w:rPr>
        <w:rFonts w:hint="default"/>
      </w:rPr>
    </w:lvl>
  </w:abstractNum>
  <w:abstractNum w:abstractNumId="6">
    <w:nsid w:val="00000007"/>
    <w:multiLevelType w:val="singleLevel"/>
    <w:tmpl w:val="00000007"/>
    <w:lvl w:ilvl="0" w:tentative="0">
      <w:start w:val="1"/>
      <w:numFmt w:val="decimalEnclosedCircleChinese"/>
      <w:suff w:val="nothing"/>
      <w:lvlText w:val="%1　"/>
      <w:lvlJc w:val="left"/>
      <w:pPr>
        <w:ind w:left="240" w:firstLine="397"/>
      </w:pPr>
      <w:rPr>
        <w:rFonts w:hint="eastAsia"/>
      </w:rPr>
    </w:lvl>
  </w:abstractNum>
  <w:abstractNum w:abstractNumId="7">
    <w:nsid w:val="00000008"/>
    <w:multiLevelType w:val="singleLevel"/>
    <w:tmpl w:val="00000008"/>
    <w:lvl w:ilvl="0" w:tentative="0">
      <w:start w:val="3"/>
      <w:numFmt w:val="decimal"/>
      <w:lvlText w:val="%1."/>
      <w:lvlJc w:val="left"/>
      <w:pPr>
        <w:tabs>
          <w:tab w:val="left" w:pos="312"/>
        </w:tabs>
      </w:pPr>
    </w:lvl>
  </w:abstractNum>
  <w:abstractNum w:abstractNumId="8">
    <w:nsid w:val="00000009"/>
    <w:multiLevelType w:val="singleLevel"/>
    <w:tmpl w:val="00000009"/>
    <w:lvl w:ilvl="0" w:tentative="0">
      <w:start w:val="1"/>
      <w:numFmt w:val="decimal"/>
      <w:suff w:val="nothing"/>
      <w:lvlText w:val="(%1)"/>
      <w:lvlJc w:val="left"/>
      <w:pPr>
        <w:ind w:left="-180"/>
      </w:pPr>
    </w:lvl>
  </w:abstractNum>
  <w:abstractNum w:abstractNumId="9">
    <w:nsid w:val="79F86D8B"/>
    <w:multiLevelType w:val="singleLevel"/>
    <w:tmpl w:val="79F86D8B"/>
    <w:lvl w:ilvl="0" w:tentative="0">
      <w:start w:val="1"/>
      <w:numFmt w:val="chineseCounting"/>
      <w:suff w:val="nothing"/>
      <w:lvlText w:val="（%1）"/>
      <w:lvlJc w:val="left"/>
      <w:pPr>
        <w:ind w:left="0" w:firstLine="420"/>
      </w:pPr>
      <w:rPr>
        <w:rFonts w:hint="eastAsia"/>
      </w:rPr>
    </w:lvl>
  </w:abstractNum>
  <w:num w:numId="1">
    <w:abstractNumId w:val="7"/>
  </w:num>
  <w:num w:numId="2">
    <w:abstractNumId w:val="5"/>
  </w:num>
  <w:num w:numId="3">
    <w:abstractNumId w:val="1"/>
  </w:num>
  <w:num w:numId="4">
    <w:abstractNumId w:val="6"/>
  </w:num>
  <w:num w:numId="5">
    <w:abstractNumId w:val="0"/>
  </w:num>
  <w:num w:numId="6">
    <w:abstractNumId w:val="3"/>
  </w:num>
  <w:num w:numId="7">
    <w:abstractNumId w:val="8"/>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Q3NDk1NzdkMjg0NDBkMjdkYzA5ZTUxYzI3NzcyNzAifQ=="/>
  </w:docVars>
  <w:rsids>
    <w:rsidRoot w:val="00EC2751"/>
    <w:rsid w:val="0000790E"/>
    <w:rsid w:val="00007C3A"/>
    <w:rsid w:val="00016B17"/>
    <w:rsid w:val="000369E3"/>
    <w:rsid w:val="00037E5D"/>
    <w:rsid w:val="00051BC6"/>
    <w:rsid w:val="00051F1A"/>
    <w:rsid w:val="00083A11"/>
    <w:rsid w:val="000A0E42"/>
    <w:rsid w:val="000D6375"/>
    <w:rsid w:val="000E0A65"/>
    <w:rsid w:val="00102352"/>
    <w:rsid w:val="00126534"/>
    <w:rsid w:val="001272B1"/>
    <w:rsid w:val="001602C0"/>
    <w:rsid w:val="00165AF3"/>
    <w:rsid w:val="0017486C"/>
    <w:rsid w:val="001D2DAC"/>
    <w:rsid w:val="001F0A94"/>
    <w:rsid w:val="0021569C"/>
    <w:rsid w:val="002231D6"/>
    <w:rsid w:val="00231123"/>
    <w:rsid w:val="00233340"/>
    <w:rsid w:val="00234C00"/>
    <w:rsid w:val="00241A2F"/>
    <w:rsid w:val="002434EB"/>
    <w:rsid w:val="002849C5"/>
    <w:rsid w:val="00292876"/>
    <w:rsid w:val="002A1086"/>
    <w:rsid w:val="002E1B92"/>
    <w:rsid w:val="00320E05"/>
    <w:rsid w:val="00323DC1"/>
    <w:rsid w:val="00345034"/>
    <w:rsid w:val="003D3B8E"/>
    <w:rsid w:val="00405928"/>
    <w:rsid w:val="00415E88"/>
    <w:rsid w:val="00427582"/>
    <w:rsid w:val="00446DDC"/>
    <w:rsid w:val="00451AE0"/>
    <w:rsid w:val="0048339E"/>
    <w:rsid w:val="004D3C2E"/>
    <w:rsid w:val="004F14B2"/>
    <w:rsid w:val="004F553E"/>
    <w:rsid w:val="00503988"/>
    <w:rsid w:val="005241F8"/>
    <w:rsid w:val="00527D37"/>
    <w:rsid w:val="00534558"/>
    <w:rsid w:val="00550C00"/>
    <w:rsid w:val="00554325"/>
    <w:rsid w:val="00563C5B"/>
    <w:rsid w:val="005705F5"/>
    <w:rsid w:val="0059481F"/>
    <w:rsid w:val="005A417F"/>
    <w:rsid w:val="005C0E9C"/>
    <w:rsid w:val="00606A3E"/>
    <w:rsid w:val="00640124"/>
    <w:rsid w:val="00657AC8"/>
    <w:rsid w:val="00665E4A"/>
    <w:rsid w:val="0068196A"/>
    <w:rsid w:val="006B7129"/>
    <w:rsid w:val="007149F2"/>
    <w:rsid w:val="00714DC7"/>
    <w:rsid w:val="00721E4D"/>
    <w:rsid w:val="00750DC0"/>
    <w:rsid w:val="00793A25"/>
    <w:rsid w:val="007A3B72"/>
    <w:rsid w:val="007C1085"/>
    <w:rsid w:val="007C3ED5"/>
    <w:rsid w:val="007F425A"/>
    <w:rsid w:val="00805F54"/>
    <w:rsid w:val="00814AE8"/>
    <w:rsid w:val="008271CF"/>
    <w:rsid w:val="00872FDC"/>
    <w:rsid w:val="008C581A"/>
    <w:rsid w:val="00912BBF"/>
    <w:rsid w:val="009176B5"/>
    <w:rsid w:val="00922981"/>
    <w:rsid w:val="00934D28"/>
    <w:rsid w:val="00957659"/>
    <w:rsid w:val="0099758D"/>
    <w:rsid w:val="009A4E15"/>
    <w:rsid w:val="009A5BA7"/>
    <w:rsid w:val="009B00B0"/>
    <w:rsid w:val="009B1CC2"/>
    <w:rsid w:val="009C1114"/>
    <w:rsid w:val="009C41D4"/>
    <w:rsid w:val="009C5BD6"/>
    <w:rsid w:val="009D5429"/>
    <w:rsid w:val="00A0634F"/>
    <w:rsid w:val="00A175CE"/>
    <w:rsid w:val="00A365B6"/>
    <w:rsid w:val="00AA1232"/>
    <w:rsid w:val="00AA66BC"/>
    <w:rsid w:val="00AC504F"/>
    <w:rsid w:val="00B0648F"/>
    <w:rsid w:val="00B9710B"/>
    <w:rsid w:val="00BC1AE7"/>
    <w:rsid w:val="00BD3CBB"/>
    <w:rsid w:val="00BE0DD5"/>
    <w:rsid w:val="00C0168A"/>
    <w:rsid w:val="00C1398A"/>
    <w:rsid w:val="00C15CDC"/>
    <w:rsid w:val="00C16DEA"/>
    <w:rsid w:val="00C35C6A"/>
    <w:rsid w:val="00C5117A"/>
    <w:rsid w:val="00CC095A"/>
    <w:rsid w:val="00CC16FC"/>
    <w:rsid w:val="00CD1E07"/>
    <w:rsid w:val="00D07496"/>
    <w:rsid w:val="00D07DCE"/>
    <w:rsid w:val="00D07DDF"/>
    <w:rsid w:val="00D30191"/>
    <w:rsid w:val="00D33EB2"/>
    <w:rsid w:val="00D42A84"/>
    <w:rsid w:val="00DA322B"/>
    <w:rsid w:val="00DC2BDE"/>
    <w:rsid w:val="00DF5CF0"/>
    <w:rsid w:val="00E000E4"/>
    <w:rsid w:val="00E458B2"/>
    <w:rsid w:val="00E61D72"/>
    <w:rsid w:val="00E661C6"/>
    <w:rsid w:val="00E669BD"/>
    <w:rsid w:val="00EA2E63"/>
    <w:rsid w:val="00EC2751"/>
    <w:rsid w:val="00ED1A75"/>
    <w:rsid w:val="00F20073"/>
    <w:rsid w:val="00F47CCE"/>
    <w:rsid w:val="00F5264E"/>
    <w:rsid w:val="00FD1BA8"/>
    <w:rsid w:val="070752C8"/>
    <w:rsid w:val="0A767DC2"/>
    <w:rsid w:val="171750B3"/>
    <w:rsid w:val="1EED151B"/>
    <w:rsid w:val="1FEE6FCC"/>
    <w:rsid w:val="20AB4C1F"/>
    <w:rsid w:val="214677D0"/>
    <w:rsid w:val="2C1F66A1"/>
    <w:rsid w:val="342E5755"/>
    <w:rsid w:val="380D0AE8"/>
    <w:rsid w:val="3A8839ED"/>
    <w:rsid w:val="3EE20777"/>
    <w:rsid w:val="54370568"/>
    <w:rsid w:val="553B448C"/>
    <w:rsid w:val="5D575A1D"/>
    <w:rsid w:val="5DEC1AEA"/>
    <w:rsid w:val="5EAB3322"/>
    <w:rsid w:val="635B35BA"/>
    <w:rsid w:val="643F18F7"/>
    <w:rsid w:val="65376FC7"/>
    <w:rsid w:val="661C086F"/>
    <w:rsid w:val="68232411"/>
    <w:rsid w:val="69E46644"/>
    <w:rsid w:val="6CE067DB"/>
    <w:rsid w:val="6CF5428C"/>
    <w:rsid w:val="6E937D06"/>
    <w:rsid w:val="6EA23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新宋体" w:cs="Arial"/>
      <w:snapToGrid w:val="0"/>
      <w:color w:val="000000"/>
      <w:sz w:val="24"/>
      <w:szCs w:val="21"/>
      <w:lang w:val="en-US" w:eastAsia="zh-CN" w:bidi="ar-SA"/>
    </w:rPr>
  </w:style>
  <w:style w:type="paragraph" w:styleId="2">
    <w:name w:val="heading 1"/>
    <w:basedOn w:val="1"/>
    <w:next w:val="1"/>
    <w:qFormat/>
    <w:uiPriority w:val="9"/>
    <w:pPr>
      <w:keepNext/>
      <w:keepLines/>
      <w:tabs>
        <w:tab w:val="left" w:pos="432"/>
      </w:tabs>
      <w:snapToGrid/>
      <w:ind w:left="431" w:hanging="431"/>
      <w:jc w:val="center"/>
      <w:outlineLvl w:val="0"/>
    </w:pPr>
    <w:rPr>
      <w:rFonts w:eastAsia="黑体"/>
      <w:b/>
      <w:bCs/>
      <w:kern w:val="44"/>
      <w:sz w:val="44"/>
      <w:szCs w:val="44"/>
    </w:rPr>
  </w:style>
  <w:style w:type="paragraph" w:styleId="3">
    <w:name w:val="heading 2"/>
    <w:basedOn w:val="1"/>
    <w:next w:val="1"/>
    <w:qFormat/>
    <w:uiPriority w:val="0"/>
    <w:pPr>
      <w:keepNext/>
      <w:keepLines/>
      <w:snapToGrid/>
      <w:jc w:val="center"/>
      <w:outlineLvl w:val="1"/>
    </w:pPr>
    <w:rPr>
      <w:rFonts w:eastAsia="黑体"/>
      <w:b/>
      <w:bCs/>
      <w:sz w:val="32"/>
      <w:szCs w:val="32"/>
    </w:rPr>
  </w:style>
  <w:style w:type="paragraph" w:styleId="4">
    <w:name w:val="heading 3"/>
    <w:basedOn w:val="1"/>
    <w:next w:val="1"/>
    <w:qFormat/>
    <w:uiPriority w:val="0"/>
    <w:pPr>
      <w:keepNext/>
      <w:keepLines/>
      <w:snapToGrid/>
      <w:outlineLvl w:val="2"/>
    </w:pPr>
    <w:rPr>
      <w:rFonts w:eastAsia="宋体"/>
      <w:b/>
    </w:rPr>
  </w:style>
  <w:style w:type="paragraph" w:styleId="5">
    <w:name w:val="heading 4"/>
    <w:basedOn w:val="1"/>
    <w:next w:val="1"/>
    <w:qFormat/>
    <w:uiPriority w:val="0"/>
    <w:pPr>
      <w:keepNext/>
      <w:keepLines/>
      <w:tabs>
        <w:tab w:val="left" w:pos="864"/>
      </w:tabs>
      <w:snapToGrid/>
      <w:ind w:left="100" w:leftChars="100" w:hanging="862"/>
      <w:outlineLvl w:val="3"/>
    </w:pPr>
    <w:rPr>
      <w:rFonts w:eastAsia="宋体"/>
      <w:b/>
      <w:bCs/>
      <w:szCs w:val="28"/>
      <w:lang w:val="zh-CN"/>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qFormat/>
    <w:uiPriority w:val="0"/>
    <w:pPr>
      <w:ind w:left="520"/>
    </w:pPr>
    <w:rPr>
      <w:rFonts w:ascii="Times New Roman" w:hAnsi="Times New Roman"/>
    </w:rPr>
  </w:style>
  <w:style w:type="paragraph" w:styleId="9">
    <w:name w:val="Body Text Indent"/>
    <w:basedOn w:val="1"/>
    <w:next w:val="1"/>
    <w:qFormat/>
    <w:uiPriority w:val="0"/>
    <w:pPr>
      <w:spacing w:line="480" w:lineRule="exact"/>
      <w:ind w:firstLine="480" w:firstLineChars="200"/>
    </w:pPr>
    <w:rPr>
      <w:rFonts w:ascii="宋体" w:hAnsi="宋体"/>
    </w:rPr>
  </w:style>
  <w:style w:type="paragraph" w:styleId="10">
    <w:name w:val="Plain Text"/>
    <w:basedOn w:val="1"/>
    <w:next w:val="1"/>
    <w:qFormat/>
    <w:uiPriority w:val="0"/>
    <w:rPr>
      <w:rFonts w:ascii="宋体" w:hAnsi="Courier New" w:cs="Courier New"/>
    </w:rPr>
  </w:style>
  <w:style w:type="paragraph" w:styleId="11">
    <w:name w:val="Body Text Indent 2"/>
    <w:basedOn w:val="1"/>
    <w:qFormat/>
    <w:uiPriority w:val="0"/>
    <w:pPr>
      <w:autoSpaceDE/>
      <w:autoSpaceDN/>
      <w:adjustRightInd/>
      <w:spacing w:line="600" w:lineRule="exact"/>
      <w:ind w:firstLine="480" w:firstLineChars="200"/>
      <w:jc w:val="both"/>
    </w:pPr>
    <w:rPr>
      <w:rFonts w:ascii="宋体" w:hAnsi="宋体"/>
      <w:szCs w:val="28"/>
    </w:rPr>
  </w:style>
  <w:style w:type="paragraph" w:styleId="12">
    <w:name w:val="endnote text"/>
    <w:basedOn w:val="1"/>
    <w:qFormat/>
    <w:uiPriority w:val="99"/>
  </w:style>
  <w:style w:type="paragraph" w:styleId="13">
    <w:name w:val="Balloon Text"/>
    <w:basedOn w:val="1"/>
    <w:link w:val="46"/>
    <w:qFormat/>
    <w:uiPriority w:val="0"/>
    <w:rPr>
      <w:sz w:val="18"/>
      <w:szCs w:val="18"/>
    </w:rPr>
  </w:style>
  <w:style w:type="paragraph" w:styleId="14">
    <w:name w:val="footer"/>
    <w:basedOn w:val="1"/>
    <w:qFormat/>
    <w:uiPriority w:val="0"/>
    <w:pPr>
      <w:tabs>
        <w:tab w:val="center" w:pos="4153"/>
        <w:tab w:val="right" w:pos="8306"/>
      </w:tabs>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toc 1"/>
    <w:basedOn w:val="1"/>
    <w:next w:val="1"/>
    <w:qFormat/>
    <w:uiPriority w:val="39"/>
    <w:pPr>
      <w:autoSpaceDE/>
      <w:autoSpaceDN/>
      <w:adjustRightInd/>
      <w:spacing w:after="100" w:line="259" w:lineRule="auto"/>
    </w:pPr>
    <w:rPr>
      <w:rFonts w:ascii="等线" w:hAnsi="等线" w:eastAsia="等线"/>
      <w:sz w:val="22"/>
      <w:szCs w:val="22"/>
    </w:rPr>
  </w:style>
  <w:style w:type="paragraph" w:styleId="17">
    <w:name w:val="footnote text"/>
    <w:basedOn w:val="1"/>
    <w:qFormat/>
    <w:uiPriority w:val="99"/>
    <w:rPr>
      <w:sz w:val="18"/>
      <w:szCs w:val="18"/>
    </w:rPr>
  </w:style>
  <w:style w:type="paragraph" w:styleId="18">
    <w:name w:val="toc 6"/>
    <w:basedOn w:val="1"/>
    <w:next w:val="1"/>
    <w:qFormat/>
    <w:uiPriority w:val="39"/>
    <w:pPr>
      <w:ind w:left="2100"/>
    </w:pPr>
  </w:style>
  <w:style w:type="paragraph" w:styleId="19">
    <w:name w:val="Normal (Web)"/>
    <w:basedOn w:val="1"/>
    <w:qFormat/>
    <w:uiPriority w:val="0"/>
    <w:pPr>
      <w:spacing w:beforeAutospacing="1" w:afterAutospacing="1"/>
    </w:pPr>
    <w:rPr>
      <w:rFonts w:cs="Times New Roman"/>
    </w:rPr>
  </w:style>
  <w:style w:type="paragraph" w:styleId="20">
    <w:name w:val="Body Text First Indent"/>
    <w:basedOn w:val="8"/>
    <w:next w:val="18"/>
    <w:qFormat/>
    <w:uiPriority w:val="99"/>
    <w:pPr>
      <w:ind w:firstLine="420" w:firstLineChars="100"/>
    </w:pPr>
    <w:rPr>
      <w:szCs w:val="20"/>
    </w:rPr>
  </w:style>
  <w:style w:type="paragraph" w:styleId="21">
    <w:name w:val="Body Text First Indent 2"/>
    <w:basedOn w:val="9"/>
    <w:qFormat/>
    <w:uiPriority w:val="0"/>
    <w:pPr>
      <w:adjustRightInd/>
      <w:spacing w:after="120" w:line="240" w:lineRule="auto"/>
      <w:ind w:left="420" w:leftChars="200" w:firstLine="21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rPr>
      <w:rFonts w:ascii="Arial" w:hAnsi="Arial" w:eastAsia="黑体" w:cs="Arial"/>
      <w:snapToGrid w:val="0"/>
      <w:kern w:val="0"/>
      <w:szCs w:val="21"/>
    </w:rPr>
  </w:style>
  <w:style w:type="character" w:styleId="26">
    <w:name w:val="FollowedHyperlink"/>
    <w:basedOn w:val="24"/>
    <w:qFormat/>
    <w:uiPriority w:val="0"/>
    <w:rPr>
      <w:color w:val="800080"/>
      <w:u w:val="single"/>
    </w:rPr>
  </w:style>
  <w:style w:type="character" w:styleId="27">
    <w:name w:val="Hyperlink"/>
    <w:basedOn w:val="24"/>
    <w:qFormat/>
    <w:uiPriority w:val="0"/>
    <w:rPr>
      <w:color w:val="0000FF"/>
      <w:u w:val="single"/>
    </w:rPr>
  </w:style>
  <w:style w:type="character" w:styleId="28">
    <w:name w:val="annotation reference"/>
    <w:basedOn w:val="24"/>
    <w:qFormat/>
    <w:uiPriority w:val="0"/>
    <w:rPr>
      <w:sz w:val="21"/>
      <w:szCs w:val="21"/>
    </w:rPr>
  </w:style>
  <w:style w:type="table" w:customStyle="1" w:styleId="29">
    <w:name w:val="Table Normal"/>
    <w:qFormat/>
    <w:uiPriority w:val="0"/>
    <w:tblPr>
      <w:tblCellMar>
        <w:top w:w="0" w:type="dxa"/>
        <w:left w:w="0" w:type="dxa"/>
        <w:bottom w:w="0" w:type="dxa"/>
        <w:right w:w="0" w:type="dxa"/>
      </w:tblCellMar>
    </w:tblPr>
  </w:style>
  <w:style w:type="paragraph" w:customStyle="1" w:styleId="3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1">
    <w:name w:val="正文2"/>
    <w:basedOn w:val="1"/>
    <w:qFormat/>
    <w:uiPriority w:val="0"/>
    <w:pPr>
      <w:spacing w:before="156" w:line="360" w:lineRule="auto"/>
      <w:ind w:firstLine="510" w:firstLineChars="200"/>
    </w:pPr>
    <w:rPr>
      <w:szCs w:val="20"/>
    </w:rPr>
  </w:style>
  <w:style w:type="paragraph" w:customStyle="1" w:styleId="32">
    <w:name w:val="列出段落1"/>
    <w:basedOn w:val="1"/>
    <w:qFormat/>
    <w:uiPriority w:val="34"/>
    <w:pPr>
      <w:spacing w:line="360" w:lineRule="auto"/>
      <w:ind w:firstLine="200" w:firstLineChars="200"/>
    </w:pPr>
    <w:rPr>
      <w:rFonts w:eastAsia="楷体_GB2312" w:cs="Lucida Sans"/>
    </w:rPr>
  </w:style>
  <w:style w:type="paragraph" w:customStyle="1" w:styleId="3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Normal]"/>
    <w:qFormat/>
    <w:uiPriority w:val="0"/>
    <w:rPr>
      <w:rFonts w:ascii="宋体" w:hAnsi="宋体" w:eastAsia="宋体" w:cs="Times New Roman"/>
      <w:sz w:val="24"/>
      <w:szCs w:val="22"/>
      <w:lang w:val="zh-CN" w:eastAsia="zh-CN" w:bidi="ar-SA"/>
    </w:rPr>
  </w:style>
  <w:style w:type="paragraph" w:customStyle="1" w:styleId="35">
    <w:name w:val="Table Paragraph"/>
    <w:basedOn w:val="1"/>
    <w:qFormat/>
    <w:uiPriority w:val="1"/>
  </w:style>
  <w:style w:type="paragraph" w:styleId="36">
    <w:name w:val="List Paragraph"/>
    <w:basedOn w:val="1"/>
    <w:qFormat/>
    <w:uiPriority w:val="0"/>
  </w:style>
  <w:style w:type="paragraph" w:customStyle="1" w:styleId="37">
    <w:name w:val="正文，首行缩进:"/>
    <w:basedOn w:val="1"/>
    <w:qFormat/>
    <w:uiPriority w:val="0"/>
    <w:pPr>
      <w:tabs>
        <w:tab w:val="left" w:pos="3376"/>
      </w:tabs>
      <w:spacing w:line="460" w:lineRule="exact"/>
      <w:ind w:firstLine="480" w:firstLineChars="200"/>
    </w:pPr>
    <w:rPr>
      <w:rFonts w:ascii="宋体" w:hAnsi="宋体" w:cs="宋体"/>
      <w:szCs w:val="20"/>
    </w:rPr>
  </w:style>
  <w:style w:type="paragraph" w:customStyle="1" w:styleId="38">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9">
    <w:name w:val="Table Text"/>
    <w:basedOn w:val="1"/>
    <w:qFormat/>
    <w:uiPriority w:val="0"/>
    <w:rPr>
      <w:rFonts w:ascii="宋体" w:hAnsi="宋体" w:eastAsia="宋体" w:cs="宋体"/>
      <w:sz w:val="21"/>
      <w:lang w:eastAsia="en-US"/>
    </w:rPr>
  </w:style>
  <w:style w:type="paragraph" w:customStyle="1" w:styleId="4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1">
    <w:name w:val="font01"/>
    <w:qFormat/>
    <w:uiPriority w:val="0"/>
    <w:rPr>
      <w:rFonts w:hint="eastAsia" w:ascii="宋体" w:hAnsi="宋体" w:eastAsia="宋体" w:cs="宋体"/>
      <w:color w:val="000000"/>
      <w:sz w:val="22"/>
      <w:szCs w:val="22"/>
      <w:u w:val="none"/>
    </w:rPr>
  </w:style>
  <w:style w:type="character" w:customStyle="1" w:styleId="42">
    <w:name w:val="font21"/>
    <w:qFormat/>
    <w:uiPriority w:val="0"/>
    <w:rPr>
      <w:rFonts w:hint="eastAsia" w:ascii="宋体" w:hAnsi="宋体" w:eastAsia="宋体" w:cs="宋体"/>
      <w:color w:val="FF0000"/>
      <w:sz w:val="22"/>
      <w:szCs w:val="22"/>
      <w:u w:val="none"/>
    </w:rPr>
  </w:style>
  <w:style w:type="character" w:customStyle="1" w:styleId="43">
    <w:name w:val="font11"/>
    <w:qFormat/>
    <w:uiPriority w:val="0"/>
    <w:rPr>
      <w:rFonts w:hint="eastAsia" w:ascii="宋体" w:hAnsi="宋体" w:eastAsia="宋体" w:cs="宋体"/>
      <w:color w:val="000000"/>
      <w:sz w:val="22"/>
      <w:szCs w:val="22"/>
      <w:u w:val="none"/>
    </w:rPr>
  </w:style>
  <w:style w:type="paragraph" w:customStyle="1" w:styleId="44">
    <w:name w:val="p0"/>
    <w:basedOn w:val="1"/>
    <w:qFormat/>
    <w:uiPriority w:val="0"/>
    <w:pPr>
      <w:spacing w:before="100" w:beforeAutospacing="1" w:after="100" w:afterAutospacing="1"/>
    </w:pPr>
    <w:rPr>
      <w:rFonts w:ascii="宋体" w:hAnsi="宋体" w:cs="宋体"/>
    </w:rPr>
  </w:style>
  <w:style w:type="paragraph" w:customStyle="1" w:styleId="45">
    <w:name w:val="样式 标题 1 + 四号 加粗"/>
    <w:basedOn w:val="2"/>
    <w:qFormat/>
    <w:uiPriority w:val="0"/>
  </w:style>
  <w:style w:type="character" w:customStyle="1" w:styleId="46">
    <w:name w:val="批注框文本 Char"/>
    <w:basedOn w:val="24"/>
    <w:link w:val="13"/>
    <w:qFormat/>
    <w:uiPriority w:val="0"/>
    <w:rPr>
      <w:rFonts w:ascii="Arial" w:hAnsi="Arial" w:eastAsia="新宋体" w:cs="Arial"/>
      <w:snapToGrid w:val="0"/>
      <w:color w:val="000000"/>
      <w:sz w:val="18"/>
      <w:szCs w:val="18"/>
    </w:rPr>
  </w:style>
  <w:style w:type="paragraph" w:customStyle="1" w:styleId="47">
    <w:name w:val="目录 11"/>
    <w:basedOn w:val="1"/>
    <w:next w:val="1"/>
    <w:unhideWhenUsed/>
    <w:qFormat/>
    <w:uiPriority w:val="0"/>
    <w:pPr>
      <w:widowControl/>
      <w:autoSpaceDE/>
      <w:autoSpaceDN/>
      <w:adjustRightInd/>
      <w:spacing w:after="100" w:line="259" w:lineRule="auto"/>
    </w:pPr>
    <w:rPr>
      <w:rFonts w:ascii="等线" w:hAnsi="等线" w:eastAsia="等线"/>
      <w:sz w:val="22"/>
      <w:szCs w:val="22"/>
    </w:rPr>
  </w:style>
  <w:style w:type="paragraph" w:customStyle="1" w:styleId="48">
    <w:name w:val="纯文本4"/>
    <w:basedOn w:val="1"/>
    <w:qFormat/>
    <w:uiPriority w:val="0"/>
    <w:rPr>
      <w:rFonts w:hAnsi="Courier New"/>
      <w:sz w:val="2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2.png"/><Relationship Id="rId36" Type="http://schemas.openxmlformats.org/officeDocument/2006/relationships/image" Target="media/image1.png"/><Relationship Id="rId35" Type="http://schemas.openxmlformats.org/officeDocument/2006/relationships/theme" Target="theme/theme1.xml"/><Relationship Id="rId34" Type="http://schemas.openxmlformats.org/officeDocument/2006/relationships/footer" Target="footer24.xml"/><Relationship Id="rId33" Type="http://schemas.openxmlformats.org/officeDocument/2006/relationships/footer" Target="footer23.xml"/><Relationship Id="rId32" Type="http://schemas.openxmlformats.org/officeDocument/2006/relationships/footer" Target="footer22.xml"/><Relationship Id="rId31" Type="http://schemas.openxmlformats.org/officeDocument/2006/relationships/footer" Target="footer21.xml"/><Relationship Id="rId30" Type="http://schemas.openxmlformats.org/officeDocument/2006/relationships/footer" Target="footer20.xml"/><Relationship Id="rId3" Type="http://schemas.openxmlformats.org/officeDocument/2006/relationships/header" Target="header1.xml"/><Relationship Id="rId29" Type="http://schemas.openxmlformats.org/officeDocument/2006/relationships/header" Target="header8.xml"/><Relationship Id="rId28" Type="http://schemas.openxmlformats.org/officeDocument/2006/relationships/header" Target="header7.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18960</Words>
  <Characters>21061</Characters>
  <Lines>317</Lines>
  <Paragraphs>89</Paragraphs>
  <TotalTime>7</TotalTime>
  <ScaleCrop>false</ScaleCrop>
  <LinksUpToDate>false</LinksUpToDate>
  <CharactersWithSpaces>21819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2023-05-27T09:22:00Z</dcterms:created>
  <dc:creator>Administrator</dc:creator>
  <cp:lastModifiedBy>xuyue</cp:lastModifiedBy>
  <cp:lastPrinted>2025-06-30T08:49:00Z</cp:lastPrinted>
  <dcterms:modified xsi:type="dcterms:W3CDTF">2026-06-03T02:52:25Z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2023-06-06T13:46:53Z</vt:filetime>
  </property>
  <property fmtid="{D5CDD505-2E9C-101B-9397-08002B2CF9AE}" pid="4" name="KSOProductBuildVer">
    <vt:lpwstr>2052-12.1.0.26375</vt:lpwstr>
  </property>
  <property fmtid="{D5CDD505-2E9C-101B-9397-08002B2CF9AE}" pid="5" name="ICV">
    <vt:lpwstr>BB53A283407F45BCBCF96ECC2319AF96_13</vt:lpwstr>
  </property>
  <property fmtid="{D5CDD505-2E9C-101B-9397-08002B2CF9AE}" pid="6" name="KSOTemplateDocerSaveRecord">
    <vt:lpwstr>eyJoZGlkIjoiMTgwZjhhNDUxYTI2Yzc0NDJhYTMyMDAwNDJjNzEwZTUiLCJ1c2VySWQiOiI0MzYwMDg4NzYifQ==</vt:lpwstr>
  </property>
</Properties>
</file>