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1"/>
        <w:jc w:val="center"/>
        <w:rPr>
          <w:rFonts w:cs="宋体" w:asciiTheme="minorEastAsia" w:hAnsiTheme="minorEastAsia"/>
          <w:color w:val="auto"/>
          <w:sz w:val="48"/>
          <w:szCs w:val="48"/>
          <w:highlight w:val="none"/>
          <w:u w:val="single"/>
        </w:rPr>
      </w:pPr>
    </w:p>
    <w:p w14:paraId="43C7B751">
      <w:pPr>
        <w:pStyle w:val="11"/>
        <w:jc w:val="center"/>
        <w:rPr>
          <w:rFonts w:cs="宋体" w:asciiTheme="minorEastAsia" w:hAnsiTheme="minorEastAsia"/>
          <w:color w:val="auto"/>
          <w:sz w:val="48"/>
          <w:szCs w:val="48"/>
          <w:highlight w:val="none"/>
          <w:u w:val="single"/>
        </w:rPr>
      </w:pPr>
    </w:p>
    <w:p w14:paraId="4E1F8D14">
      <w:pPr>
        <w:pStyle w:val="11"/>
        <w:jc w:val="center"/>
        <w:rPr>
          <w:rFonts w:cs="宋体" w:asciiTheme="minorEastAsia" w:hAnsiTheme="minorEastAsia"/>
          <w:color w:val="auto"/>
          <w:sz w:val="48"/>
          <w:szCs w:val="48"/>
          <w:highlight w:val="none"/>
          <w:u w:val="single"/>
        </w:rPr>
      </w:pPr>
    </w:p>
    <w:p w14:paraId="3AE63300">
      <w:pPr>
        <w:pStyle w:val="11"/>
        <w:jc w:val="center"/>
        <w:rPr>
          <w:rFonts w:cs="宋体" w:asciiTheme="minorEastAsia" w:hAnsiTheme="minorEastAsia"/>
          <w:color w:val="auto"/>
          <w:sz w:val="48"/>
          <w:szCs w:val="48"/>
          <w:highlight w:val="none"/>
          <w:u w:val="single"/>
        </w:rPr>
      </w:pPr>
    </w:p>
    <w:p w14:paraId="71570A98">
      <w:pPr>
        <w:pStyle w:val="11"/>
        <w:jc w:val="center"/>
        <w:rPr>
          <w:rFonts w:cs="宋体" w:asciiTheme="minorEastAsia" w:hAnsiTheme="minorEastAsia"/>
          <w:color w:val="auto"/>
          <w:sz w:val="48"/>
          <w:szCs w:val="48"/>
          <w:highlight w:val="none"/>
          <w:u w:val="single"/>
        </w:rPr>
      </w:pPr>
    </w:p>
    <w:p w14:paraId="0C6367BE">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临江公司2026年-2027年平迪凯特料位开关采购项目</w:t>
      </w:r>
    </w:p>
    <w:p w14:paraId="62914120">
      <w:pPr>
        <w:adjustRightInd w:val="0"/>
        <w:snapToGrid w:val="0"/>
        <w:spacing w:line="360" w:lineRule="auto"/>
        <w:jc w:val="center"/>
        <w:rPr>
          <w:rFonts w:hint="eastAsia"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17676F69">
      <w:pPr>
        <w:adjustRightInd w:val="0"/>
        <w:snapToGrid w:val="0"/>
        <w:spacing w:line="360" w:lineRule="auto"/>
        <w:jc w:val="center"/>
        <w:rPr>
          <w:rFonts w:hint="eastAsia" w:cs="宋体" w:asciiTheme="minorEastAsia" w:hAnsiTheme="minorEastAsia"/>
          <w:b/>
          <w:bCs/>
          <w:color w:val="auto"/>
          <w:sz w:val="48"/>
          <w:szCs w:val="48"/>
          <w:highlight w:val="none"/>
          <w:u w:val="single"/>
          <w:lang w:val="en-US" w:eastAsia="zh-CN"/>
        </w:rPr>
      </w:pPr>
      <w:r>
        <w:rPr>
          <w:rFonts w:hint="eastAsia" w:cs="宋体" w:asciiTheme="minorEastAsia" w:hAnsiTheme="minorEastAsia"/>
          <w:b/>
          <w:bCs/>
          <w:color w:val="auto"/>
          <w:sz w:val="48"/>
          <w:szCs w:val="48"/>
          <w:highlight w:val="none"/>
          <w:u w:val="single"/>
          <w:lang w:val="en-US" w:eastAsia="zh-CN"/>
        </w:rPr>
        <w:t>（电子交易）</w:t>
      </w:r>
    </w:p>
    <w:p w14:paraId="7A1BE32E">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202605009</w:t>
      </w:r>
    </w:p>
    <w:p w14:paraId="1729E501">
      <w:pPr>
        <w:spacing w:line="360" w:lineRule="auto"/>
        <w:jc w:val="center"/>
        <w:rPr>
          <w:rFonts w:cs="仿宋" w:asciiTheme="minorEastAsia" w:hAnsiTheme="minorEastAsia"/>
          <w:b/>
          <w:bCs/>
          <w:color w:val="auto"/>
          <w:sz w:val="72"/>
          <w:szCs w:val="72"/>
          <w:highlight w:val="none"/>
        </w:rPr>
      </w:pPr>
    </w:p>
    <w:p w14:paraId="656AB32D">
      <w:pPr>
        <w:pStyle w:val="8"/>
        <w:rPr>
          <w:rFonts w:asciiTheme="minorEastAsia" w:hAnsiTheme="minorEastAsia"/>
          <w:color w:val="auto"/>
          <w:highlight w:val="none"/>
        </w:rPr>
      </w:pPr>
    </w:p>
    <w:p w14:paraId="64582FC1">
      <w:pPr>
        <w:spacing w:line="360" w:lineRule="auto"/>
        <w:jc w:val="center"/>
        <w:rPr>
          <w:rFonts w:cs="仿宋" w:asciiTheme="minorEastAsia" w:hAnsiTheme="minorEastAsia"/>
          <w:b/>
          <w:bCs/>
          <w:color w:val="auto"/>
          <w:sz w:val="72"/>
          <w:szCs w:val="72"/>
          <w:highlight w:val="none"/>
        </w:rPr>
      </w:pPr>
    </w:p>
    <w:p w14:paraId="7E92C877">
      <w:pPr>
        <w:pStyle w:val="11"/>
        <w:rPr>
          <w:color w:val="auto"/>
          <w:highlight w:val="none"/>
        </w:rPr>
      </w:pPr>
    </w:p>
    <w:p w14:paraId="78F3ED30">
      <w:pPr>
        <w:rPr>
          <w:color w:val="auto"/>
          <w:highlight w:val="none"/>
        </w:rPr>
      </w:pPr>
    </w:p>
    <w:p w14:paraId="7C05648C">
      <w:pPr>
        <w:pStyle w:val="11"/>
        <w:rPr>
          <w:color w:val="auto"/>
          <w:highlight w:val="none"/>
        </w:rPr>
      </w:pPr>
    </w:p>
    <w:p w14:paraId="69D04CCD">
      <w:pPr>
        <w:rPr>
          <w:color w:val="auto"/>
          <w:highlight w:val="none"/>
        </w:rPr>
      </w:pPr>
    </w:p>
    <w:p w14:paraId="66B4F936">
      <w:pPr>
        <w:spacing w:line="360" w:lineRule="auto"/>
        <w:rPr>
          <w:rFonts w:cs="仿宋" w:asciiTheme="minorEastAsia" w:hAnsiTheme="minorEastAsia"/>
          <w:color w:val="auto"/>
          <w:sz w:val="24"/>
          <w:highlight w:val="none"/>
        </w:rPr>
      </w:pPr>
    </w:p>
    <w:p w14:paraId="0FB43D82">
      <w:pPr>
        <w:pStyle w:val="11"/>
        <w:rPr>
          <w:rFonts w:cs="仿宋" w:asciiTheme="minorEastAsia" w:hAnsiTheme="minorEastAsia"/>
          <w:color w:val="auto"/>
          <w:sz w:val="24"/>
          <w:szCs w:val="24"/>
          <w:highlight w:val="none"/>
        </w:rPr>
      </w:pPr>
    </w:p>
    <w:p w14:paraId="6B3A0643">
      <w:pPr>
        <w:pStyle w:val="11"/>
        <w:jc w:val="center"/>
        <w:rPr>
          <w:rFonts w:cs="仿宋" w:asciiTheme="minorEastAsia" w:hAnsiTheme="minorEastAsia"/>
          <w:color w:val="auto"/>
          <w:sz w:val="24"/>
          <w:szCs w:val="24"/>
          <w:highlight w:val="none"/>
        </w:rPr>
      </w:pPr>
    </w:p>
    <w:p w14:paraId="639A28D8">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5396EBC">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2026年5月</w:t>
      </w:r>
      <w:r>
        <w:rPr>
          <w:rFonts w:hint="eastAsia" w:cs="仿宋" w:asciiTheme="minorEastAsia" w:hAnsiTheme="minorEastAsia"/>
          <w:color w:val="auto"/>
          <w:sz w:val="32"/>
          <w:szCs w:val="32"/>
          <w:highlight w:val="none"/>
          <w:lang w:val="en-US" w:eastAsia="zh-CN"/>
        </w:rPr>
        <w:t>21</w:t>
      </w:r>
      <w:r>
        <w:rPr>
          <w:rFonts w:hint="eastAsia" w:cs="仿宋" w:asciiTheme="minorEastAsia" w:hAnsiTheme="minorEastAsia"/>
          <w:color w:val="auto"/>
          <w:sz w:val="32"/>
          <w:szCs w:val="32"/>
          <w:highlight w:val="none"/>
          <w:lang w:eastAsia="zh-CN"/>
        </w:rPr>
        <w:t>日</w:t>
      </w:r>
    </w:p>
    <w:p w14:paraId="163EA5FF">
      <w:pPr>
        <w:spacing w:line="360" w:lineRule="auto"/>
        <w:ind w:firstLine="602" w:firstLineChars="200"/>
        <w:jc w:val="center"/>
        <w:rPr>
          <w:rFonts w:cs="仿宋" w:asciiTheme="minorEastAsia" w:hAnsiTheme="minorEastAsia"/>
          <w:b/>
          <w:color w:val="auto"/>
          <w:sz w:val="30"/>
          <w:szCs w:val="30"/>
          <w:highlight w:val="none"/>
        </w:rPr>
      </w:pPr>
    </w:p>
    <w:p w14:paraId="1BB9A2AB">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7F7A50EA">
      <w:pPr>
        <w:spacing w:line="360" w:lineRule="auto"/>
        <w:ind w:firstLine="723" w:firstLineChars="200"/>
        <w:jc w:val="center"/>
        <w:rPr>
          <w:rFonts w:ascii="宋体" w:hAnsi="宋体" w:cs="仿宋"/>
          <w:b/>
          <w:color w:val="auto"/>
          <w:sz w:val="36"/>
          <w:szCs w:val="36"/>
          <w:highlight w:val="none"/>
        </w:rPr>
      </w:pPr>
      <w:r>
        <w:rPr>
          <w:rFonts w:hint="eastAsia" w:cs="仿宋" w:asciiTheme="minorEastAsia" w:hAnsiTheme="minorEastAsia"/>
          <w:b/>
          <w:color w:val="auto"/>
          <w:sz w:val="36"/>
          <w:szCs w:val="36"/>
          <w:highlight w:val="none"/>
        </w:rPr>
        <w:t xml:space="preserve">第一部分 </w:t>
      </w:r>
      <w:r>
        <w:rPr>
          <w:rFonts w:hint="eastAsia" w:ascii="宋体" w:hAnsi="宋体" w:cs="仿宋"/>
          <w:b/>
          <w:color w:val="auto"/>
          <w:sz w:val="36"/>
          <w:szCs w:val="36"/>
          <w:highlight w:val="none"/>
        </w:rPr>
        <w:t>采购公告</w:t>
      </w:r>
    </w:p>
    <w:p w14:paraId="332768D2">
      <w:pPr>
        <w:pBdr>
          <w:top w:val="single" w:color="auto" w:sz="4" w:space="1"/>
          <w:left w:val="single" w:color="auto" w:sz="4" w:space="4"/>
          <w:bottom w:val="single" w:color="auto" w:sz="4" w:space="1"/>
          <w:right w:val="single" w:color="auto" w:sz="4" w:space="4"/>
        </w:pBdr>
        <w:spacing w:line="460" w:lineRule="exact"/>
        <w:rPr>
          <w:rFonts w:ascii="宋体" w:hAnsi="宋体" w:cs="仿宋"/>
          <w:color w:val="auto"/>
          <w:sz w:val="24"/>
          <w:highlight w:val="none"/>
        </w:rPr>
      </w:pPr>
      <w:r>
        <w:rPr>
          <w:rFonts w:hint="eastAsia" w:ascii="宋体" w:hAnsi="宋体" w:cs="仿宋"/>
          <w:b/>
          <w:bCs/>
          <w:color w:val="auto"/>
          <w:sz w:val="24"/>
          <w:highlight w:val="none"/>
        </w:rPr>
        <w:t>项目概况</w:t>
      </w:r>
      <w:r>
        <w:rPr>
          <w:rFonts w:ascii="宋体" w:hAnsi="宋体" w:cs="仿宋"/>
          <w:b/>
          <w:bCs/>
          <w:color w:val="auto"/>
          <w:sz w:val="24"/>
          <w:highlight w:val="none"/>
        </w:rPr>
        <w:t>:</w:t>
      </w:r>
    </w:p>
    <w:p w14:paraId="42172347">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杭州临江环境能源有限公司的</w:t>
      </w:r>
      <w:r>
        <w:rPr>
          <w:rFonts w:hint="eastAsia" w:ascii="宋体" w:hAnsi="宋体" w:cs="仿宋"/>
          <w:color w:val="auto"/>
          <w:sz w:val="24"/>
          <w:highlight w:val="none"/>
          <w:u w:val="single"/>
          <w:lang w:eastAsia="zh-CN"/>
        </w:rPr>
        <w:t>临江公司2026年-2027年平迪凯特料位开关采购项目</w:t>
      </w:r>
      <w:r>
        <w:rPr>
          <w:rFonts w:hint="eastAsia" w:ascii="宋体" w:hAnsi="宋体" w:cs="仿宋"/>
          <w:color w:val="auto"/>
          <w:sz w:val="24"/>
          <w:highlight w:val="none"/>
        </w:rPr>
        <w:t>已批准实施，资金自筹，采购人为</w:t>
      </w:r>
      <w:r>
        <w:rPr>
          <w:rFonts w:hint="eastAsia" w:ascii="宋体" w:hAnsi="宋体" w:cs="仿宋"/>
          <w:color w:val="auto"/>
          <w:sz w:val="24"/>
          <w:highlight w:val="none"/>
          <w:u w:val="single"/>
        </w:rPr>
        <w:t>杭州临江环境能源有限公司</w:t>
      </w:r>
      <w:r>
        <w:rPr>
          <w:rFonts w:hint="eastAsia" w:ascii="宋体" w:hAnsi="宋体" w:cs="仿宋"/>
          <w:color w:val="auto"/>
          <w:sz w:val="24"/>
          <w:highlight w:val="none"/>
        </w:rPr>
        <w:t>。项目已具备采购条件，现对该项目进行询价</w:t>
      </w:r>
      <w:r>
        <w:rPr>
          <w:rFonts w:hint="eastAsia" w:ascii="宋体" w:hAnsi="宋体" w:cs="仿宋"/>
          <w:color w:val="auto"/>
          <w:sz w:val="24"/>
          <w:highlight w:val="none"/>
          <w:lang w:val="en-US" w:eastAsia="zh-CN"/>
        </w:rPr>
        <w:t>采购</w:t>
      </w:r>
      <w:r>
        <w:rPr>
          <w:rFonts w:hint="eastAsia" w:ascii="宋体" w:hAnsi="宋体" w:cs="仿宋"/>
          <w:color w:val="auto"/>
          <w:sz w:val="24"/>
          <w:highlight w:val="none"/>
        </w:rPr>
        <w:t>。本询价公告</w:t>
      </w:r>
      <w:r>
        <w:rPr>
          <w:rFonts w:hint="eastAsia" w:ascii="宋体" w:hAnsi="宋体" w:cs="仿宋"/>
          <w:color w:val="auto"/>
          <w:sz w:val="24"/>
          <w:highlight w:val="none"/>
          <w:lang w:val="en-US" w:eastAsia="zh-CN"/>
        </w:rPr>
        <w:t>在</w:t>
      </w:r>
      <w:r>
        <w:rPr>
          <w:rFonts w:hint="eastAsia" w:ascii="宋体" w:hAnsi="宋体" w:cs="仿宋"/>
          <w:color w:val="auto"/>
          <w:sz w:val="24"/>
          <w:highlight w:val="none"/>
        </w:rPr>
        <w:t>中国招标投标公共服务平台（http://www.cebpubservice.com/）、</w:t>
      </w:r>
      <w:r>
        <w:rPr>
          <w:rFonts w:hint="eastAsia" w:ascii="宋体" w:hAnsi="宋体" w:cs="仿宋"/>
          <w:color w:val="auto"/>
          <w:sz w:val="24"/>
          <w:highlight w:val="none"/>
          <w:u w:val="none"/>
        </w:rPr>
        <w:t>浙江企业采购信息服务网 (b.zhengcaiyun.cn)</w:t>
      </w:r>
      <w:r>
        <w:rPr>
          <w:rFonts w:hint="eastAsia" w:ascii="宋体" w:hAnsi="宋体" w:cs="仿宋"/>
          <w:color w:val="auto"/>
          <w:sz w:val="24"/>
          <w:highlight w:val="none"/>
        </w:rPr>
        <w:t>‌、杭州市环境集团有限公司</w:t>
      </w:r>
      <w:r>
        <w:rPr>
          <w:rFonts w:hint="eastAsia" w:ascii="宋体" w:hAnsi="宋体" w:cs="仿宋"/>
          <w:color w:val="auto"/>
          <w:sz w:val="24"/>
          <w:highlight w:val="none"/>
          <w:lang w:val="en-US" w:eastAsia="zh-CN"/>
        </w:rPr>
        <w:t>网站</w:t>
      </w:r>
      <w:r>
        <w:rPr>
          <w:rFonts w:hint="eastAsia" w:ascii="宋体" w:hAnsi="宋体" w:cs="仿宋"/>
          <w:color w:val="auto"/>
          <w:sz w:val="24"/>
          <w:highlight w:val="none"/>
        </w:rPr>
        <w:t>、杭州临江环境能源有限公司</w:t>
      </w:r>
      <w:r>
        <w:rPr>
          <w:rFonts w:hint="eastAsia" w:ascii="宋体" w:hAnsi="宋体" w:cs="仿宋"/>
          <w:color w:val="auto"/>
          <w:sz w:val="24"/>
          <w:highlight w:val="none"/>
          <w:lang w:val="en-US" w:eastAsia="zh-CN"/>
        </w:rPr>
        <w:t>网站</w:t>
      </w:r>
      <w:r>
        <w:rPr>
          <w:rFonts w:hint="eastAsia" w:ascii="宋体" w:hAnsi="宋体" w:cs="仿宋"/>
          <w:color w:val="auto"/>
          <w:sz w:val="24"/>
          <w:highlight w:val="none"/>
        </w:rPr>
        <w:t>发布。欢迎对本项目有兴趣且符合资质条件的潜在供应商参加本次采购项目。</w:t>
      </w:r>
    </w:p>
    <w:p w14:paraId="2BD8DC50">
      <w:pPr>
        <w:pStyle w:val="4"/>
        <w:spacing w:line="240" w:lineRule="auto"/>
        <w:ind w:firstLine="482" w:firstLineChars="200"/>
        <w:rPr>
          <w:rFonts w:ascii="宋体" w:hAnsi="宋体" w:eastAsia="宋体" w:cs="仿宋"/>
          <w:bCs w:val="0"/>
          <w:color w:val="auto"/>
          <w:sz w:val="24"/>
          <w:szCs w:val="24"/>
          <w:highlight w:val="none"/>
        </w:rPr>
      </w:pPr>
      <w:r>
        <w:rPr>
          <w:rFonts w:hint="eastAsia" w:ascii="宋体" w:hAnsi="宋体" w:eastAsia="宋体" w:cs="仿宋"/>
          <w:bCs w:val="0"/>
          <w:color w:val="auto"/>
          <w:sz w:val="24"/>
          <w:szCs w:val="24"/>
          <w:highlight w:val="none"/>
        </w:rPr>
        <w:t>一、项目基本情况</w:t>
      </w:r>
    </w:p>
    <w:p w14:paraId="46F7EB90">
      <w:pPr>
        <w:spacing w:line="360" w:lineRule="auto"/>
        <w:ind w:firstLine="482" w:firstLineChars="200"/>
        <w:rPr>
          <w:rFonts w:hint="eastAsia" w:ascii="宋体" w:hAnsi="宋体" w:eastAsia="宋体" w:cs="仿宋"/>
          <w:color w:val="auto"/>
          <w:sz w:val="24"/>
          <w:highlight w:val="none"/>
          <w:u w:val="single"/>
          <w:lang w:eastAsia="zh-CN"/>
        </w:rPr>
      </w:pPr>
      <w:r>
        <w:rPr>
          <w:rFonts w:hint="eastAsia" w:ascii="宋体" w:hAnsi="宋体" w:cs="仿宋"/>
          <w:b/>
          <w:bCs/>
          <w:color w:val="auto"/>
          <w:sz w:val="24"/>
          <w:highlight w:val="none"/>
        </w:rPr>
        <w:t>1.项目编号：</w:t>
      </w:r>
      <w:r>
        <w:rPr>
          <w:rFonts w:hint="eastAsia" w:ascii="宋体" w:hAnsi="宋体" w:cs="仿宋"/>
          <w:color w:val="auto"/>
          <w:sz w:val="24"/>
          <w:highlight w:val="none"/>
          <w:u w:val="single"/>
          <w:lang w:eastAsia="zh-CN"/>
        </w:rPr>
        <w:t>202605009</w:t>
      </w:r>
    </w:p>
    <w:p w14:paraId="4B6BF89B">
      <w:pPr>
        <w:spacing w:line="360" w:lineRule="auto"/>
        <w:ind w:firstLine="482" w:firstLineChars="200"/>
        <w:rPr>
          <w:rFonts w:ascii="宋体" w:hAnsi="宋体" w:cs="仿宋"/>
          <w:color w:val="auto"/>
          <w:sz w:val="24"/>
          <w:highlight w:val="none"/>
          <w:u w:val="single"/>
        </w:rPr>
      </w:pPr>
      <w:r>
        <w:rPr>
          <w:rFonts w:hint="eastAsia" w:ascii="宋体" w:hAnsi="宋体" w:cs="仿宋"/>
          <w:b/>
          <w:bCs/>
          <w:color w:val="auto"/>
          <w:sz w:val="24"/>
          <w:highlight w:val="none"/>
        </w:rPr>
        <w:t>2.项目名称：</w:t>
      </w:r>
      <w:r>
        <w:rPr>
          <w:rFonts w:ascii="宋体" w:hAnsi="宋体" w:cs="仿宋"/>
          <w:color w:val="auto"/>
          <w:sz w:val="24"/>
          <w:highlight w:val="none"/>
          <w:u w:val="single"/>
        </w:rPr>
        <w:t xml:space="preserve"> </w:t>
      </w:r>
      <w:r>
        <w:rPr>
          <w:rFonts w:hint="eastAsia" w:ascii="宋体" w:hAnsi="宋体" w:cs="仿宋"/>
          <w:color w:val="auto"/>
          <w:sz w:val="24"/>
          <w:highlight w:val="none"/>
          <w:u w:val="single"/>
          <w:lang w:eastAsia="zh-CN"/>
        </w:rPr>
        <w:t>临江公司2026年-2027年平迪凯特料位开关采购项目</w:t>
      </w:r>
      <w:r>
        <w:rPr>
          <w:rFonts w:ascii="宋体" w:hAnsi="宋体" w:cs="仿宋"/>
          <w:color w:val="auto"/>
          <w:sz w:val="24"/>
          <w:highlight w:val="none"/>
          <w:u w:val="single"/>
        </w:rPr>
        <w:t xml:space="preserve"> </w:t>
      </w:r>
    </w:p>
    <w:p w14:paraId="3F8B24D6">
      <w:pPr>
        <w:spacing w:line="360" w:lineRule="auto"/>
        <w:ind w:firstLine="482" w:firstLineChars="200"/>
        <w:rPr>
          <w:rFonts w:ascii="宋体" w:hAnsi="宋体" w:cs="仿宋"/>
          <w:color w:val="auto"/>
          <w:sz w:val="24"/>
          <w:highlight w:val="none"/>
        </w:rPr>
      </w:pPr>
      <w:r>
        <w:rPr>
          <w:rFonts w:hint="eastAsia" w:ascii="宋体" w:hAnsi="宋体" w:cs="仿宋"/>
          <w:b/>
          <w:bCs/>
          <w:color w:val="auto"/>
          <w:sz w:val="24"/>
          <w:highlight w:val="none"/>
        </w:rPr>
        <w:t>3.采购方式：</w:t>
      </w:r>
      <w:r>
        <w:rPr>
          <w:rFonts w:hint="eastAsia" w:ascii="宋体" w:hAnsi="宋体" w:cs="仿宋"/>
          <w:color w:val="auto"/>
          <w:sz w:val="24"/>
          <w:highlight w:val="none"/>
          <w:u w:val="single"/>
        </w:rPr>
        <w:t>询价</w:t>
      </w:r>
    </w:p>
    <w:p w14:paraId="609CDD61">
      <w:pPr>
        <w:spacing w:line="360" w:lineRule="auto"/>
        <w:ind w:firstLine="482" w:firstLineChars="200"/>
        <w:rPr>
          <w:rFonts w:ascii="宋体" w:hAnsi="宋体" w:cs="仿宋"/>
          <w:color w:val="auto"/>
          <w:sz w:val="24"/>
          <w:highlight w:val="none"/>
        </w:rPr>
      </w:pPr>
      <w:r>
        <w:rPr>
          <w:rFonts w:hint="eastAsia" w:ascii="宋体" w:hAnsi="宋体" w:cs="仿宋"/>
          <w:b/>
          <w:bCs/>
          <w:color w:val="auto"/>
          <w:sz w:val="24"/>
          <w:highlight w:val="none"/>
        </w:rPr>
        <w:t>4.最高限价：</w:t>
      </w:r>
      <w:r>
        <w:rPr>
          <w:rFonts w:hint="eastAsia" w:ascii="宋体" w:hAnsi="宋体" w:cs="仿宋"/>
          <w:color w:val="auto"/>
          <w:sz w:val="24"/>
          <w:highlight w:val="none"/>
          <w:u w:val="single"/>
          <w:lang w:val="en-US" w:eastAsia="zh-CN"/>
        </w:rPr>
        <w:t>含税27.3</w:t>
      </w:r>
      <w:r>
        <w:rPr>
          <w:rFonts w:hint="eastAsia" w:ascii="宋体" w:hAnsi="宋体" w:cs="仿宋"/>
          <w:color w:val="auto"/>
          <w:sz w:val="24"/>
          <w:highlight w:val="none"/>
          <w:u w:val="single"/>
        </w:rPr>
        <w:t>万元</w:t>
      </w:r>
    </w:p>
    <w:p w14:paraId="169580B3">
      <w:pPr>
        <w:spacing w:line="360" w:lineRule="auto"/>
        <w:ind w:firstLine="482" w:firstLineChars="200"/>
        <w:rPr>
          <w:rFonts w:hAnsi="宋体" w:cs="宋体"/>
          <w:bCs/>
          <w:color w:val="auto"/>
          <w:sz w:val="24"/>
          <w:highlight w:val="none"/>
        </w:rPr>
      </w:pPr>
      <w:r>
        <w:rPr>
          <w:rFonts w:hint="eastAsia" w:ascii="宋体" w:hAnsi="宋体" w:cs="仿宋"/>
          <w:b/>
          <w:bCs/>
          <w:color w:val="auto"/>
          <w:sz w:val="24"/>
          <w:highlight w:val="none"/>
        </w:rPr>
        <w:t>5.采购需求：</w:t>
      </w:r>
    </w:p>
    <w:p w14:paraId="3D853E7B">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hAnsi="宋体" w:cs="宋体"/>
          <w:bCs/>
          <w:color w:val="auto"/>
          <w:sz w:val="24"/>
          <w:highlight w:val="none"/>
          <w:lang w:val="en-US" w:eastAsia="zh-CN"/>
        </w:rPr>
        <w:t>平迪凯特料位开关一批</w:t>
      </w:r>
      <w:r>
        <w:rPr>
          <w:rFonts w:hint="eastAsia" w:hAnsi="宋体" w:cs="宋体"/>
          <w:bCs/>
          <w:color w:val="auto"/>
          <w:sz w:val="24"/>
          <w:highlight w:val="none"/>
        </w:rPr>
        <w:t>。</w:t>
      </w:r>
      <w:r>
        <w:rPr>
          <w:rFonts w:hint="eastAsia" w:ascii="宋体" w:hAnsi="宋体" w:cs="仿宋"/>
          <w:color w:val="auto"/>
          <w:sz w:val="24"/>
          <w:highlight w:val="none"/>
        </w:rPr>
        <w:t>具体要求以询价通知书第三部分采购需求为准。</w:t>
      </w:r>
    </w:p>
    <w:p w14:paraId="3DAA9DC8">
      <w:pPr>
        <w:spacing w:line="360" w:lineRule="auto"/>
        <w:ind w:firstLine="480" w:firstLineChars="200"/>
        <w:rPr>
          <w:rFonts w:ascii="宋体" w:hAnsi="宋体" w:cs="仿宋"/>
          <w:color w:val="auto"/>
          <w:sz w:val="24"/>
          <w:highlight w:val="none"/>
          <w:u w:val="single"/>
        </w:rPr>
      </w:pPr>
      <w:r>
        <w:rPr>
          <w:rFonts w:hint="eastAsia" w:ascii="宋体" w:hAnsi="宋体" w:cs="仿宋"/>
          <w:color w:val="auto"/>
          <w:sz w:val="24"/>
          <w:highlight w:val="none"/>
        </w:rPr>
        <w:t>6.</w:t>
      </w:r>
      <w:r>
        <w:rPr>
          <w:rFonts w:hint="eastAsia" w:ascii="宋体" w:hAnsi="宋体" w:cs="仿宋"/>
          <w:b/>
          <w:bCs/>
          <w:color w:val="auto"/>
          <w:sz w:val="24"/>
          <w:highlight w:val="none"/>
        </w:rPr>
        <w:t>合同期限：</w:t>
      </w:r>
      <w:r>
        <w:rPr>
          <w:rFonts w:hint="eastAsia" w:ascii="宋体" w:hAnsi="宋体" w:cs="仿宋"/>
          <w:color w:val="auto"/>
          <w:sz w:val="24"/>
          <w:highlight w:val="none"/>
          <w:u w:val="single"/>
          <w:lang w:val="en-US" w:eastAsia="zh-CN"/>
        </w:rPr>
        <w:t>自合同签订后12个月自动结束</w:t>
      </w:r>
      <w:r>
        <w:rPr>
          <w:rFonts w:hint="eastAsia" w:ascii="宋体" w:hAnsi="宋体" w:cs="仿宋"/>
          <w:color w:val="auto"/>
          <w:sz w:val="24"/>
          <w:highlight w:val="none"/>
          <w:u w:val="single"/>
        </w:rPr>
        <w:t>。</w:t>
      </w:r>
    </w:p>
    <w:p w14:paraId="1836D919">
      <w:pPr>
        <w:spacing w:line="360" w:lineRule="auto"/>
        <w:ind w:firstLine="480" w:firstLineChars="200"/>
        <w:rPr>
          <w:rFonts w:ascii="宋体" w:hAnsi="宋体" w:cs="仿宋"/>
          <w:color w:val="auto"/>
          <w:sz w:val="24"/>
          <w:highlight w:val="none"/>
        </w:rPr>
      </w:pPr>
      <w:r>
        <w:rPr>
          <w:rFonts w:ascii="宋体" w:hAnsi="宋体" w:cs="仿宋"/>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7FD9D56D">
      <w:pPr>
        <w:spacing w:line="360" w:lineRule="auto"/>
        <w:ind w:firstLine="482" w:firstLineChars="200"/>
        <w:rPr>
          <w:rFonts w:hint="default" w:ascii="宋体" w:hAnsi="宋体" w:eastAsia="宋体" w:cs="仿宋"/>
          <w:b/>
          <w:bCs w:val="0"/>
          <w:color w:val="auto"/>
          <w:kern w:val="2"/>
          <w:sz w:val="24"/>
          <w:szCs w:val="24"/>
          <w:highlight w:val="none"/>
          <w:lang w:val="en-US" w:eastAsia="zh-CN" w:bidi="ar-SA"/>
        </w:rPr>
      </w:pPr>
      <w:r>
        <w:rPr>
          <w:rFonts w:hint="eastAsia" w:ascii="宋体" w:hAnsi="宋体" w:eastAsia="宋体" w:cs="仿宋"/>
          <w:b/>
          <w:bCs w:val="0"/>
          <w:color w:val="auto"/>
          <w:kern w:val="2"/>
          <w:sz w:val="24"/>
          <w:szCs w:val="24"/>
          <w:highlight w:val="none"/>
          <w:lang w:val="en-US" w:eastAsia="zh-CN" w:bidi="ar-SA"/>
        </w:rPr>
        <w:t>二、供应商的资格要求：</w:t>
      </w:r>
    </w:p>
    <w:p w14:paraId="6A228E9A">
      <w:pPr>
        <w:spacing w:line="360" w:lineRule="auto"/>
        <w:ind w:firstLine="480" w:firstLineChars="200"/>
        <w:rPr>
          <w:color w:val="auto"/>
          <w:highlight w:val="none"/>
        </w:rPr>
      </w:pPr>
      <w:r>
        <w:rPr>
          <w:rFonts w:hint="eastAsia" w:ascii="宋体" w:hAnsi="宋体" w:eastAsia="宋体" w:cs="仿宋"/>
          <w:bCs/>
          <w:color w:val="auto"/>
          <w:kern w:val="2"/>
          <w:sz w:val="24"/>
          <w:szCs w:val="24"/>
          <w:highlight w:val="none"/>
          <w:lang w:val="en-US" w:eastAsia="zh-CN" w:bidi="ar-SA"/>
        </w:rPr>
        <w:t>1.</w:t>
      </w:r>
      <w:r>
        <w:rPr>
          <w:rFonts w:hint="default" w:ascii="宋体" w:hAnsi="宋体" w:eastAsia="宋体" w:cs="仿宋"/>
          <w:bCs/>
          <w:color w:val="auto"/>
          <w:kern w:val="2"/>
          <w:sz w:val="24"/>
          <w:szCs w:val="24"/>
          <w:highlight w:val="none"/>
          <w:lang w:val="en-US" w:eastAsia="zh-CN" w:bidi="ar-SA"/>
        </w:rPr>
        <w:t>供应商应为在中华人民共和国境内依法注册、具有独立承担民事责任能力并具备履约能力的实体。供应商具有独立法人资格需提供有效期内的营业执照（或事业单位法人证书、社会团体法人登记证书、其他组织登记证明文件）副本复印件并加盖公章。若供应商为不具有独立法人资格的分公司或分支机构，除需提供</w:t>
      </w:r>
      <w:r>
        <w:rPr>
          <w:rFonts w:hint="eastAsia" w:ascii="宋体" w:hAnsi="宋体" w:cs="仿宋"/>
          <w:bCs/>
          <w:color w:val="auto"/>
          <w:kern w:val="2"/>
          <w:sz w:val="24"/>
          <w:szCs w:val="24"/>
          <w:highlight w:val="none"/>
          <w:lang w:val="en-US" w:eastAsia="zh-CN" w:bidi="ar-SA"/>
        </w:rPr>
        <w:t>自身</w:t>
      </w:r>
      <w:r>
        <w:rPr>
          <w:rFonts w:hint="default" w:ascii="宋体" w:hAnsi="宋体" w:eastAsia="宋体" w:cs="仿宋"/>
          <w:bCs/>
          <w:color w:val="auto"/>
          <w:kern w:val="2"/>
          <w:sz w:val="24"/>
          <w:szCs w:val="24"/>
          <w:highlight w:val="none"/>
          <w:lang w:val="en-US" w:eastAsia="zh-CN" w:bidi="ar-SA"/>
        </w:rPr>
        <w:t>营业执照复印件并加盖公章外</w:t>
      </w:r>
      <w:r>
        <w:rPr>
          <w:rFonts w:hint="eastAsia" w:ascii="宋体" w:hAnsi="宋体" w:eastAsia="宋体" w:cs="仿宋"/>
          <w:bCs/>
          <w:color w:val="auto"/>
          <w:kern w:val="2"/>
          <w:sz w:val="24"/>
          <w:szCs w:val="24"/>
          <w:highlight w:val="none"/>
          <w:lang w:val="en-US" w:eastAsia="zh-CN" w:bidi="ar-SA"/>
        </w:rPr>
        <w:t>，提供</w:t>
      </w:r>
      <w:r>
        <w:rPr>
          <w:rFonts w:hint="default" w:ascii="宋体" w:hAnsi="宋体" w:eastAsia="宋体" w:cs="仿宋"/>
          <w:bCs/>
          <w:color w:val="auto"/>
          <w:kern w:val="2"/>
          <w:sz w:val="24"/>
          <w:szCs w:val="24"/>
          <w:highlight w:val="none"/>
          <w:lang w:val="en-US" w:eastAsia="zh-CN" w:bidi="ar-SA"/>
        </w:rPr>
        <w:t>其所属具有独立法人资格的总公司出具的有效授权书</w:t>
      </w:r>
      <w:r>
        <w:rPr>
          <w:rFonts w:hint="eastAsia" w:ascii="宋体" w:hAnsi="宋体" w:cs="仿宋"/>
          <w:bCs/>
          <w:color w:val="auto"/>
          <w:kern w:val="2"/>
          <w:sz w:val="24"/>
          <w:szCs w:val="24"/>
          <w:highlight w:val="none"/>
          <w:lang w:val="en-US" w:eastAsia="zh-CN" w:bidi="ar-SA"/>
        </w:rPr>
        <w:t>和总公司营业执照</w:t>
      </w:r>
      <w:r>
        <w:rPr>
          <w:rFonts w:hint="default" w:ascii="宋体" w:hAnsi="宋体" w:eastAsia="宋体" w:cs="仿宋"/>
          <w:bCs/>
          <w:color w:val="auto"/>
          <w:kern w:val="2"/>
          <w:sz w:val="24"/>
          <w:szCs w:val="24"/>
          <w:highlight w:val="none"/>
          <w:lang w:val="en-US" w:eastAsia="zh-CN" w:bidi="ar-SA"/>
        </w:rPr>
        <w:t>复印件并加盖公章</w:t>
      </w:r>
      <w:r>
        <w:rPr>
          <w:rFonts w:hint="eastAsia" w:ascii="宋体" w:hAnsi="宋体" w:cs="仿宋"/>
          <w:bCs/>
          <w:color w:val="auto"/>
          <w:kern w:val="2"/>
          <w:sz w:val="24"/>
          <w:szCs w:val="24"/>
          <w:highlight w:val="none"/>
          <w:lang w:val="en-US" w:eastAsia="zh-CN" w:bidi="ar-SA"/>
        </w:rPr>
        <w:t>。</w:t>
      </w:r>
    </w:p>
    <w:p w14:paraId="3E7A4053">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仿宋"/>
          <w:bCs/>
          <w:color w:val="auto"/>
          <w:sz w:val="24"/>
          <w:highlight w:val="none"/>
        </w:rPr>
      </w:pPr>
      <w:r>
        <w:rPr>
          <w:rFonts w:hint="eastAsia" w:ascii="宋体" w:hAnsi="宋体" w:cs="仿宋"/>
          <w:bCs/>
          <w:color w:val="auto"/>
          <w:sz w:val="24"/>
          <w:highlight w:val="none"/>
        </w:rPr>
        <w:t>2.近三年内，供应商未被“信用中国”(www.creditchina.gov.cn)、中国政府采购网(www.ccgp.gov.cn)等官方网站列入</w:t>
      </w:r>
      <w:r>
        <w:rPr>
          <w:rFonts w:hint="eastAsia" w:ascii="宋体" w:hAnsi="宋体" w:cs="仿宋"/>
          <w:bCs/>
          <w:color w:val="auto"/>
          <w:sz w:val="24"/>
          <w:highlight w:val="none"/>
          <w:lang w:val="en-US" w:eastAsia="zh-CN"/>
        </w:rPr>
        <w:t>严重失信</w:t>
      </w:r>
      <w:r>
        <w:rPr>
          <w:rFonts w:hint="eastAsia" w:ascii="宋体" w:hAnsi="宋体" w:cs="仿宋"/>
          <w:bCs/>
          <w:color w:val="auto"/>
          <w:sz w:val="24"/>
          <w:highlight w:val="none"/>
        </w:rPr>
        <w:t>、政府采购严重违法失信行为名单。（</w:t>
      </w:r>
      <w:r>
        <w:rPr>
          <w:rFonts w:hint="eastAsia" w:ascii="宋体" w:hAnsi="宋体" w:cs="仿宋"/>
          <w:bCs/>
          <w:color w:val="auto"/>
          <w:sz w:val="24"/>
          <w:highlight w:val="none"/>
          <w:lang w:val="en-US" w:eastAsia="zh-CN"/>
        </w:rPr>
        <w:t>供应商</w:t>
      </w:r>
      <w:r>
        <w:rPr>
          <w:rFonts w:hint="eastAsia" w:ascii="宋体" w:hAnsi="宋体" w:cs="仿宋"/>
          <w:bCs/>
          <w:color w:val="auto"/>
          <w:sz w:val="24"/>
          <w:highlight w:val="none"/>
        </w:rPr>
        <w:t>提供，</w:t>
      </w:r>
      <w:r>
        <w:rPr>
          <w:rFonts w:hint="eastAsia" w:ascii="宋体" w:hAnsi="宋体" w:cs="仿宋"/>
          <w:bCs/>
          <w:color w:val="auto"/>
          <w:sz w:val="24"/>
          <w:highlight w:val="none"/>
          <w:lang w:val="en-US" w:eastAsia="zh-CN"/>
        </w:rPr>
        <w:t>采购人在响应开启</w:t>
      </w:r>
      <w:r>
        <w:rPr>
          <w:rFonts w:hint="eastAsia" w:ascii="宋体" w:hAnsi="宋体" w:cs="仿宋"/>
          <w:bCs/>
          <w:color w:val="auto"/>
          <w:sz w:val="24"/>
          <w:highlight w:val="none"/>
        </w:rPr>
        <w:t>当日</w:t>
      </w:r>
      <w:r>
        <w:rPr>
          <w:rFonts w:hint="eastAsia" w:ascii="宋体" w:hAnsi="宋体" w:cs="仿宋"/>
          <w:bCs/>
          <w:color w:val="auto"/>
          <w:sz w:val="24"/>
          <w:highlight w:val="none"/>
          <w:lang w:val="en-US" w:eastAsia="zh-CN"/>
        </w:rPr>
        <w:t>复核</w:t>
      </w:r>
      <w:r>
        <w:rPr>
          <w:rFonts w:hint="eastAsia" w:ascii="宋体" w:hAnsi="宋体" w:cs="仿宋"/>
          <w:bCs/>
          <w:color w:val="auto"/>
          <w:sz w:val="24"/>
          <w:highlight w:val="none"/>
        </w:rPr>
        <w:t>）</w:t>
      </w:r>
      <w:r>
        <w:rPr>
          <w:rFonts w:hint="eastAsia" w:ascii="宋体" w:hAnsi="宋体" w:cs="仿宋"/>
          <w:bCs/>
          <w:color w:val="auto"/>
          <w:sz w:val="24"/>
          <w:highlight w:val="none"/>
          <w:lang w:eastAsia="zh-CN"/>
        </w:rPr>
        <w:t>。</w:t>
      </w:r>
    </w:p>
    <w:p w14:paraId="0781C979">
      <w:pPr>
        <w:spacing w:line="360" w:lineRule="auto"/>
        <w:ind w:firstLine="480" w:firstLineChars="200"/>
        <w:rPr>
          <w:rFonts w:hint="default" w:ascii="宋体" w:hAnsi="宋体" w:eastAsia="宋体" w:cs="仿宋"/>
          <w:bCs/>
          <w:color w:val="auto"/>
          <w:sz w:val="24"/>
          <w:highlight w:val="none"/>
          <w:u w:val="single"/>
          <w:lang w:val="en-US" w:eastAsia="zh-CN"/>
        </w:rPr>
      </w:pPr>
      <w:r>
        <w:rPr>
          <w:rFonts w:hint="eastAsia" w:ascii="宋体" w:hAnsi="宋体" w:cs="仿宋"/>
          <w:bCs/>
          <w:color w:val="auto"/>
          <w:sz w:val="24"/>
          <w:highlight w:val="none"/>
        </w:rPr>
        <w:t>3.业绩要求：</w:t>
      </w:r>
      <w:r>
        <w:rPr>
          <w:rFonts w:hint="eastAsia" w:ascii="宋体" w:hAnsi="宋体" w:cs="仿宋"/>
          <w:bCs/>
          <w:color w:val="auto"/>
          <w:sz w:val="24"/>
          <w:highlight w:val="none"/>
          <w:u w:val="single"/>
        </w:rPr>
        <w:t xml:space="preserve"> </w:t>
      </w:r>
      <w:r>
        <w:rPr>
          <w:rFonts w:hint="eastAsia" w:ascii="宋体" w:hAnsi="宋体" w:cs="仿宋"/>
          <w:bCs/>
          <w:color w:val="auto"/>
          <w:sz w:val="24"/>
          <w:highlight w:val="none"/>
          <w:u w:val="single"/>
          <w:lang w:val="en-US" w:eastAsia="zh-CN"/>
        </w:rPr>
        <w:t>/</w:t>
      </w:r>
    </w:p>
    <w:p w14:paraId="5653BAE5">
      <w:pPr>
        <w:spacing w:line="360" w:lineRule="auto"/>
        <w:ind w:firstLine="480" w:firstLineChars="200"/>
        <w:rPr>
          <w:rFonts w:ascii="宋体" w:hAnsi="宋体" w:cs="仿宋"/>
          <w:bCs/>
          <w:color w:val="auto"/>
          <w:sz w:val="24"/>
          <w:highlight w:val="none"/>
        </w:rPr>
      </w:pPr>
      <w:r>
        <w:rPr>
          <w:rFonts w:hint="eastAsia" w:ascii="宋体" w:hAnsi="宋体" w:cs="仿宋"/>
          <w:bCs/>
          <w:color w:val="auto"/>
          <w:sz w:val="24"/>
          <w:highlight w:val="none"/>
        </w:rPr>
        <w:t>4.供应商不得</w:t>
      </w:r>
      <w:r>
        <w:rPr>
          <w:rFonts w:hint="eastAsia" w:ascii="宋体" w:hAnsi="宋体" w:cs="仿宋"/>
          <w:bCs/>
          <w:color w:val="auto"/>
          <w:sz w:val="24"/>
          <w:highlight w:val="none"/>
          <w:lang w:val="en-US" w:eastAsia="zh-CN"/>
        </w:rPr>
        <w:t>在</w:t>
      </w:r>
      <w:r>
        <w:rPr>
          <w:rFonts w:hint="eastAsia" w:ascii="宋体" w:hAnsi="宋体" w:cs="仿宋"/>
          <w:bCs/>
          <w:color w:val="auto"/>
          <w:sz w:val="24"/>
          <w:highlight w:val="none"/>
        </w:rPr>
        <w:t>杭州市环境集团有限公司不合格供应商或者在黑名单之内。</w:t>
      </w:r>
      <w:r>
        <w:rPr>
          <w:rFonts w:hint="eastAsia" w:ascii="宋体" w:hAnsi="宋体" w:cs="仿宋"/>
          <w:b w:val="0"/>
          <w:bCs/>
          <w:color w:val="auto"/>
          <w:sz w:val="24"/>
          <w:highlight w:val="none"/>
          <w:lang w:eastAsia="zh-CN"/>
        </w:rPr>
        <w:t>（</w:t>
      </w:r>
      <w:r>
        <w:rPr>
          <w:rFonts w:hint="eastAsia" w:ascii="宋体" w:hAnsi="宋体" w:cs="仿宋"/>
          <w:b w:val="0"/>
          <w:bCs/>
          <w:color w:val="auto"/>
          <w:sz w:val="24"/>
          <w:highlight w:val="none"/>
          <w:lang w:val="en-US" w:eastAsia="zh-CN"/>
        </w:rPr>
        <w:t>供应商</w:t>
      </w:r>
      <w:r>
        <w:rPr>
          <w:rFonts w:hint="eastAsia" w:ascii="宋体" w:hAnsi="宋体" w:cs="仿宋"/>
          <w:b w:val="0"/>
          <w:bCs/>
          <w:color w:val="auto"/>
          <w:sz w:val="24"/>
          <w:highlight w:val="none"/>
        </w:rPr>
        <w:t>无需提供，并以</w:t>
      </w:r>
      <w:r>
        <w:rPr>
          <w:rFonts w:hint="eastAsia" w:ascii="宋体" w:hAnsi="宋体" w:cs="仿宋"/>
          <w:b w:val="0"/>
          <w:bCs/>
          <w:color w:val="auto"/>
          <w:sz w:val="24"/>
          <w:highlight w:val="none"/>
          <w:lang w:val="en-US" w:eastAsia="zh-CN"/>
        </w:rPr>
        <w:t>采购</w:t>
      </w:r>
      <w:r>
        <w:rPr>
          <w:rFonts w:hint="eastAsia" w:ascii="宋体" w:hAnsi="宋体" w:cs="仿宋"/>
          <w:b w:val="0"/>
          <w:bCs/>
          <w:color w:val="auto"/>
          <w:sz w:val="24"/>
          <w:highlight w:val="none"/>
        </w:rPr>
        <w:t>人提供的名单为准</w:t>
      </w:r>
      <w:r>
        <w:rPr>
          <w:rFonts w:hint="eastAsia" w:ascii="宋体" w:hAnsi="宋体" w:cs="仿宋"/>
          <w:b w:val="0"/>
          <w:bCs/>
          <w:color w:val="auto"/>
          <w:sz w:val="24"/>
          <w:highlight w:val="none"/>
          <w:lang w:eastAsia="zh-CN"/>
        </w:rPr>
        <w:t>）</w:t>
      </w:r>
    </w:p>
    <w:p w14:paraId="4FB7B472">
      <w:pPr>
        <w:spacing w:line="360" w:lineRule="auto"/>
        <w:ind w:firstLine="480" w:firstLineChars="200"/>
        <w:rPr>
          <w:rFonts w:ascii="宋体" w:hAnsi="宋体" w:cs="仿宋"/>
          <w:bCs/>
          <w:color w:val="auto"/>
          <w:sz w:val="24"/>
          <w:highlight w:val="none"/>
        </w:rPr>
      </w:pPr>
      <w:r>
        <w:rPr>
          <w:rFonts w:hint="eastAsia" w:ascii="宋体" w:hAnsi="宋体" w:cs="仿宋"/>
          <w:bCs/>
          <w:color w:val="auto"/>
          <w:sz w:val="24"/>
          <w:highlight w:val="none"/>
        </w:rPr>
        <w:t xml:space="preserve">5.供应商负责人为同一人或者存在控股、管理关系的不同单位，不得同时参加本项目。  </w:t>
      </w:r>
    </w:p>
    <w:p w14:paraId="3AEE70D0">
      <w:pPr>
        <w:spacing w:line="360" w:lineRule="auto"/>
        <w:ind w:firstLine="480" w:firstLineChars="200"/>
        <w:rPr>
          <w:rFonts w:ascii="宋体" w:hAnsi="宋体" w:cs="仿宋"/>
          <w:bCs/>
          <w:color w:val="auto"/>
          <w:sz w:val="24"/>
          <w:highlight w:val="none"/>
        </w:rPr>
      </w:pPr>
      <w:r>
        <w:rPr>
          <w:rFonts w:hint="eastAsia" w:ascii="宋体" w:hAnsi="宋体" w:cs="仿宋"/>
          <w:bCs/>
          <w:color w:val="auto"/>
          <w:sz w:val="24"/>
          <w:highlight w:val="none"/>
        </w:rPr>
        <w:t>6.供应商须提供其股东信息及出资比例信息。</w:t>
      </w:r>
    </w:p>
    <w:p w14:paraId="4ADCB56B">
      <w:pPr>
        <w:spacing w:line="360" w:lineRule="auto"/>
        <w:ind w:firstLine="480" w:firstLineChars="200"/>
        <w:rPr>
          <w:rFonts w:ascii="宋体" w:hAnsi="宋体" w:cs="仿宋"/>
          <w:bCs/>
          <w:color w:val="auto"/>
          <w:sz w:val="24"/>
          <w:highlight w:val="none"/>
          <w:u w:val="single"/>
        </w:rPr>
      </w:pPr>
      <w:r>
        <w:rPr>
          <w:rFonts w:ascii="宋体" w:hAnsi="宋体" w:cs="仿宋"/>
          <w:bCs/>
          <w:color w:val="auto"/>
          <w:sz w:val="24"/>
          <w:highlight w:val="none"/>
        </w:rPr>
        <w:t>7.</w:t>
      </w:r>
      <w:r>
        <w:rPr>
          <w:rFonts w:hint="eastAsia" w:ascii="宋体" w:hAnsi="宋体" w:cs="仿宋"/>
          <w:bCs/>
          <w:color w:val="auto"/>
          <w:sz w:val="24"/>
          <w:highlight w:val="none"/>
        </w:rPr>
        <w:t>本项目</w:t>
      </w:r>
      <w:r>
        <w:rPr>
          <w:rFonts w:hint="eastAsia" w:ascii="宋体" w:hAnsi="宋体" w:cs="仿宋"/>
          <w:bCs/>
          <w:color w:val="auto"/>
          <w:sz w:val="24"/>
          <w:highlight w:val="none"/>
          <w:lang w:eastAsia="zh-CN"/>
        </w:rPr>
        <w:t>其他资格</w:t>
      </w:r>
      <w:r>
        <w:rPr>
          <w:rFonts w:hint="eastAsia" w:ascii="宋体" w:hAnsi="宋体" w:cs="仿宋"/>
          <w:bCs/>
          <w:color w:val="auto"/>
          <w:sz w:val="24"/>
          <w:highlight w:val="none"/>
        </w:rPr>
        <w:t>要求：</w:t>
      </w:r>
      <w:r>
        <w:rPr>
          <w:rFonts w:hint="eastAsia" w:ascii="宋体" w:hAnsi="宋体" w:cs="仿宋"/>
          <w:bCs/>
          <w:color w:val="auto"/>
          <w:sz w:val="24"/>
          <w:highlight w:val="none"/>
          <w:u w:val="single"/>
        </w:rPr>
        <w:t xml:space="preserve">  无</w:t>
      </w:r>
      <w:r>
        <w:rPr>
          <w:rFonts w:hint="eastAsia" w:ascii="宋体" w:hAnsi="宋体" w:cs="仿宋"/>
          <w:bCs/>
          <w:i/>
          <w:iCs/>
          <w:color w:val="auto"/>
          <w:sz w:val="24"/>
          <w:highlight w:val="none"/>
          <w:u w:val="single"/>
        </w:rPr>
        <w:t xml:space="preserve">  。</w:t>
      </w:r>
    </w:p>
    <w:p w14:paraId="3BC43942">
      <w:pPr>
        <w:spacing w:line="360" w:lineRule="auto"/>
        <w:ind w:firstLine="482" w:firstLineChars="200"/>
        <w:rPr>
          <w:rFonts w:ascii="宋体" w:hAnsi="宋体" w:cs="仿宋"/>
          <w:b/>
          <w:bCs/>
          <w:color w:val="auto"/>
          <w:sz w:val="24"/>
          <w:highlight w:val="none"/>
        </w:rPr>
      </w:pPr>
      <w:r>
        <w:rPr>
          <w:rFonts w:hint="eastAsia" w:ascii="宋体" w:hAnsi="宋体" w:cs="仿宋"/>
          <w:b/>
          <w:bCs/>
          <w:color w:val="auto"/>
          <w:sz w:val="24"/>
          <w:highlight w:val="none"/>
        </w:rPr>
        <w:t>三、获取（下载）询价采购文件</w:t>
      </w:r>
    </w:p>
    <w:p w14:paraId="4315C774">
      <w:pPr>
        <w:pStyle w:val="4"/>
        <w:spacing w:before="0" w:after="0" w:line="360" w:lineRule="auto"/>
        <w:ind w:firstLine="480" w:firstLineChars="200"/>
        <w:rPr>
          <w:rFonts w:ascii="宋体" w:hAnsi="宋体" w:eastAsia="宋体" w:cs="仿宋"/>
          <w:b w:val="0"/>
          <w:color w:val="auto"/>
          <w:sz w:val="24"/>
          <w:szCs w:val="24"/>
          <w:highlight w:val="none"/>
        </w:rPr>
      </w:pPr>
      <w:r>
        <w:rPr>
          <w:rFonts w:hint="eastAsia" w:ascii="宋体" w:hAnsi="宋体" w:eastAsia="宋体" w:cs="仿宋"/>
          <w:b w:val="0"/>
          <w:color w:val="auto"/>
          <w:sz w:val="24"/>
          <w:szCs w:val="24"/>
          <w:highlight w:val="none"/>
        </w:rPr>
        <w:t xml:space="preserve">1.时间：报价截止时间前。   </w:t>
      </w:r>
      <w:bookmarkStart w:id="395" w:name="_GoBack"/>
      <w:bookmarkEnd w:id="395"/>
    </w:p>
    <w:p w14:paraId="0CDDF332">
      <w:pPr>
        <w:pStyle w:val="4"/>
        <w:spacing w:before="0" w:after="0" w:line="360" w:lineRule="auto"/>
        <w:ind w:firstLine="480" w:firstLineChars="200"/>
        <w:rPr>
          <w:rFonts w:ascii="宋体" w:hAnsi="宋体" w:eastAsia="宋体" w:cs="仿宋"/>
          <w:b w:val="0"/>
          <w:color w:val="auto"/>
          <w:sz w:val="24"/>
          <w:szCs w:val="24"/>
          <w:highlight w:val="none"/>
        </w:rPr>
      </w:pPr>
      <w:r>
        <w:rPr>
          <w:rFonts w:hint="eastAsia" w:ascii="宋体" w:hAnsi="宋体" w:eastAsia="宋体" w:cs="仿宋"/>
          <w:b w:val="0"/>
          <w:color w:val="auto"/>
          <w:sz w:val="24"/>
          <w:szCs w:val="24"/>
          <w:highlight w:val="none"/>
        </w:rPr>
        <w:t>2.地点（网址）：杭州临江环境能源有限公司网站（https://www.ljhjny.com/notice.html）</w:t>
      </w:r>
      <w:r>
        <w:rPr>
          <w:rFonts w:hint="eastAsia" w:ascii="宋体" w:hAnsi="宋体" w:eastAsia="宋体" w:cs="仿宋"/>
          <w:b w:val="0"/>
          <w:color w:val="auto"/>
          <w:sz w:val="24"/>
          <w:szCs w:val="24"/>
          <w:highlight w:val="none"/>
          <w:lang w:eastAsia="zh-CN"/>
        </w:rPr>
        <w:t>、杭州临江环境能源有限公司供应链管理系统平台（https://www.ljhjgylpt.com:9280）</w:t>
      </w:r>
      <w:r>
        <w:rPr>
          <w:rFonts w:hint="eastAsia" w:ascii="宋体" w:hAnsi="宋体" w:eastAsia="宋体" w:cs="仿宋"/>
          <w:b w:val="0"/>
          <w:color w:val="auto"/>
          <w:sz w:val="24"/>
          <w:szCs w:val="24"/>
          <w:highlight w:val="none"/>
        </w:rPr>
        <w:t>。</w:t>
      </w:r>
    </w:p>
    <w:p w14:paraId="3BFFC5F7">
      <w:pPr>
        <w:pStyle w:val="4"/>
        <w:spacing w:before="0" w:after="0" w:line="360" w:lineRule="auto"/>
        <w:ind w:firstLine="480" w:firstLineChars="200"/>
        <w:rPr>
          <w:rFonts w:ascii="宋体" w:hAnsi="宋体" w:eastAsia="宋体" w:cs="仿宋"/>
          <w:b w:val="0"/>
          <w:color w:val="auto"/>
          <w:sz w:val="24"/>
          <w:szCs w:val="24"/>
          <w:highlight w:val="none"/>
        </w:rPr>
      </w:pPr>
      <w:r>
        <w:rPr>
          <w:rFonts w:hint="eastAsia" w:ascii="宋体" w:hAnsi="宋体" w:eastAsia="宋体" w:cs="仿宋"/>
          <w:b w:val="0"/>
          <w:color w:val="auto"/>
          <w:sz w:val="24"/>
          <w:szCs w:val="24"/>
          <w:highlight w:val="none"/>
        </w:rPr>
        <w:t>3.方式：网站附件免费下载。</w:t>
      </w:r>
    </w:p>
    <w:p w14:paraId="65F9C417">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ascii="宋体" w:hAnsi="宋体" w:cs="仿宋"/>
          <w:b/>
          <w:bCs/>
          <w:color w:val="auto"/>
          <w:sz w:val="24"/>
          <w:highlight w:val="none"/>
        </w:rPr>
        <w:t>四、询价保证金</w:t>
      </w:r>
      <w:r>
        <w:rPr>
          <w:rFonts w:hint="eastAsia" w:ascii="宋体" w:hAnsi="宋体" w:cs="仿宋"/>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33DFBB82">
      <w:pPr>
        <w:pStyle w:val="4"/>
        <w:spacing w:before="0" w:after="0" w:line="360" w:lineRule="auto"/>
        <w:ind w:firstLine="480" w:firstLineChars="200"/>
        <w:rPr>
          <w:rFonts w:hint="eastAsia" w:ascii="宋体" w:hAnsi="宋体" w:eastAsia="宋体" w:cs="仿宋"/>
          <w:b w:val="0"/>
          <w:bCs/>
          <w:color w:val="auto"/>
          <w:kern w:val="2"/>
          <w:sz w:val="24"/>
          <w:szCs w:val="24"/>
          <w:highlight w:val="none"/>
          <w:lang w:val="en-US" w:eastAsia="zh-CN" w:bidi="ar-SA"/>
        </w:rPr>
      </w:pPr>
      <w:r>
        <w:rPr>
          <w:rFonts w:hint="eastAsia" w:ascii="宋体" w:hAnsi="宋体" w:eastAsia="宋体" w:cs="仿宋"/>
          <w:b w:val="0"/>
          <w:bCs/>
          <w:color w:val="auto"/>
          <w:kern w:val="2"/>
          <w:sz w:val="24"/>
          <w:szCs w:val="24"/>
          <w:highlight w:val="none"/>
          <w:lang w:val="en-US" w:eastAsia="zh-CN" w:bidi="ar-SA"/>
        </w:rPr>
        <w:t>1.缴纳金额：</w:t>
      </w:r>
      <w:r>
        <w:rPr>
          <w:rFonts w:hint="eastAsia" w:ascii="宋体" w:hAnsi="宋体" w:eastAsia="宋体" w:cs="仿宋"/>
          <w:b w:val="0"/>
          <w:bCs/>
          <w:color w:val="auto"/>
          <w:kern w:val="2"/>
          <w:sz w:val="24"/>
          <w:szCs w:val="24"/>
          <w:highlight w:val="none"/>
          <w:u w:val="single"/>
          <w:lang w:val="en-US" w:eastAsia="zh-CN" w:bidi="ar-SA"/>
        </w:rPr>
        <w:t xml:space="preserve">  </w:t>
      </w:r>
      <w:r>
        <w:rPr>
          <w:rFonts w:hint="eastAsia" w:ascii="宋体" w:hAnsi="宋体" w:eastAsia="宋体" w:cs="仿宋"/>
          <w:b w:val="0"/>
          <w:bCs/>
          <w:strike w:val="0"/>
          <w:dstrike w:val="0"/>
          <w:color w:val="auto"/>
          <w:kern w:val="2"/>
          <w:sz w:val="24"/>
          <w:szCs w:val="24"/>
          <w:highlight w:val="none"/>
          <w:u w:val="single"/>
          <w:lang w:val="en-US" w:eastAsia="zh-CN" w:bidi="ar-SA"/>
        </w:rPr>
        <w:t>5400元</w:t>
      </w:r>
      <w:r>
        <w:rPr>
          <w:rFonts w:hint="eastAsia" w:ascii="宋体" w:hAnsi="宋体" w:eastAsia="宋体" w:cs="仿宋"/>
          <w:b w:val="0"/>
          <w:bCs/>
          <w:color w:val="auto"/>
          <w:kern w:val="2"/>
          <w:sz w:val="24"/>
          <w:szCs w:val="24"/>
          <w:highlight w:val="none"/>
          <w:lang w:val="en-US" w:eastAsia="zh-CN" w:bidi="ar-SA"/>
        </w:rPr>
        <w:t>，同时注明：</w:t>
      </w:r>
      <w:r>
        <w:rPr>
          <w:rFonts w:hint="eastAsia" w:ascii="宋体" w:hAnsi="宋体" w:eastAsia="宋体" w:cs="仿宋"/>
          <w:b w:val="0"/>
          <w:bCs/>
          <w:strike w:val="0"/>
          <w:dstrike w:val="0"/>
          <w:color w:val="auto"/>
          <w:kern w:val="2"/>
          <w:sz w:val="24"/>
          <w:szCs w:val="24"/>
          <w:highlight w:val="none"/>
          <w:u w:val="single"/>
          <w:lang w:val="en-US" w:eastAsia="zh-CN" w:bidi="ar-SA"/>
        </w:rPr>
        <w:t>临江公司2026年-2027年平迪凯特料位开关采购项目询价保证金</w:t>
      </w:r>
      <w:r>
        <w:rPr>
          <w:rFonts w:hint="eastAsia" w:ascii="宋体" w:hAnsi="宋体" w:eastAsia="宋体" w:cs="仿宋"/>
          <w:b w:val="0"/>
          <w:bCs/>
          <w:color w:val="auto"/>
          <w:kern w:val="2"/>
          <w:sz w:val="24"/>
          <w:szCs w:val="24"/>
          <w:highlight w:val="none"/>
          <w:lang w:val="en-US" w:eastAsia="zh-CN" w:bidi="ar-SA"/>
        </w:rPr>
        <w:t>。</w:t>
      </w:r>
    </w:p>
    <w:p w14:paraId="13A791BE">
      <w:pPr>
        <w:pStyle w:val="4"/>
        <w:spacing w:before="0" w:after="0" w:line="360" w:lineRule="auto"/>
        <w:ind w:firstLine="480" w:firstLineChars="200"/>
        <w:rPr>
          <w:rFonts w:hint="eastAsia" w:ascii="宋体" w:hAnsi="宋体" w:eastAsia="宋体" w:cs="仿宋"/>
          <w:b w:val="0"/>
          <w:bCs/>
          <w:color w:val="auto"/>
          <w:kern w:val="2"/>
          <w:sz w:val="24"/>
          <w:szCs w:val="24"/>
          <w:highlight w:val="none"/>
          <w:u w:val="single"/>
          <w:lang w:val="en-US" w:eastAsia="zh-CN" w:bidi="ar-SA"/>
        </w:rPr>
      </w:pPr>
      <w:r>
        <w:rPr>
          <w:rFonts w:hint="eastAsia" w:ascii="宋体" w:hAnsi="宋体" w:eastAsia="宋体" w:cs="仿宋"/>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仿宋"/>
          <w:b w:val="0"/>
          <w:bCs/>
          <w:color w:val="auto"/>
          <w:kern w:val="2"/>
          <w:sz w:val="24"/>
          <w:szCs w:val="24"/>
          <w:highlight w:val="none"/>
          <w:lang w:val="en-US" w:eastAsia="zh-CN" w:bidi="ar-SA"/>
        </w:rPr>
        <w:t>。</w:t>
      </w:r>
      <w:r>
        <w:rPr>
          <w:rFonts w:hint="eastAsia" w:ascii="宋体" w:hAnsi="宋体" w:eastAsia="宋体" w:cs="仿宋"/>
          <w:b w:val="0"/>
          <w:bCs/>
          <w:color w:val="auto"/>
          <w:kern w:val="2"/>
          <w:sz w:val="24"/>
          <w:szCs w:val="24"/>
          <w:highlight w:val="none"/>
          <w:u w:val="single"/>
          <w:lang w:val="en-US" w:eastAsia="zh-CN" w:bidi="ar-SA"/>
        </w:rPr>
        <w:t>同时将银行缴款凭证复印件作为响应文件组成部分。</w:t>
      </w:r>
    </w:p>
    <w:p w14:paraId="2E010213">
      <w:pPr>
        <w:pStyle w:val="4"/>
        <w:spacing w:before="0" w:after="0" w:line="360" w:lineRule="auto"/>
        <w:ind w:firstLine="480" w:firstLineChars="200"/>
        <w:rPr>
          <w:rFonts w:hint="eastAsia" w:ascii="宋体" w:hAnsi="宋体" w:eastAsia="宋体" w:cs="仿宋"/>
          <w:b w:val="0"/>
          <w:bCs/>
          <w:color w:val="auto"/>
          <w:kern w:val="2"/>
          <w:sz w:val="24"/>
          <w:szCs w:val="24"/>
          <w:highlight w:val="none"/>
          <w:lang w:val="en-US" w:eastAsia="zh-CN" w:bidi="ar-SA"/>
        </w:rPr>
      </w:pPr>
      <w:r>
        <w:rPr>
          <w:rFonts w:hint="eastAsia" w:ascii="宋体" w:hAnsi="宋体" w:eastAsia="宋体" w:cs="仿宋"/>
          <w:b w:val="0"/>
          <w:bCs/>
          <w:color w:val="auto"/>
          <w:kern w:val="2"/>
          <w:sz w:val="24"/>
          <w:szCs w:val="24"/>
          <w:highlight w:val="none"/>
          <w:lang w:val="en-US" w:eastAsia="zh-CN" w:bidi="ar-SA"/>
        </w:rPr>
        <w:t>3.交纳账户：</w:t>
      </w:r>
    </w:p>
    <w:p w14:paraId="6A692336">
      <w:pPr>
        <w:pStyle w:val="4"/>
        <w:spacing w:before="0" w:after="0" w:line="360" w:lineRule="auto"/>
        <w:ind w:firstLine="480" w:firstLineChars="200"/>
        <w:rPr>
          <w:rFonts w:hint="eastAsia" w:ascii="宋体" w:hAnsi="宋体" w:eastAsia="宋体" w:cs="仿宋"/>
          <w:b w:val="0"/>
          <w:bCs/>
          <w:color w:val="auto"/>
          <w:kern w:val="2"/>
          <w:sz w:val="24"/>
          <w:szCs w:val="24"/>
          <w:highlight w:val="none"/>
          <w:u w:val="single"/>
          <w:lang w:val="en-US" w:eastAsia="zh-CN" w:bidi="ar-SA"/>
        </w:rPr>
      </w:pPr>
      <w:r>
        <w:rPr>
          <w:rFonts w:hint="eastAsia" w:ascii="宋体" w:hAnsi="宋体" w:eastAsia="宋体" w:cs="仿宋"/>
          <w:b w:val="0"/>
          <w:bCs/>
          <w:color w:val="auto"/>
          <w:kern w:val="2"/>
          <w:sz w:val="24"/>
          <w:szCs w:val="24"/>
          <w:highlight w:val="none"/>
          <w:lang w:val="en-US" w:eastAsia="zh-CN" w:bidi="ar-SA"/>
        </w:rPr>
        <w:t>户    名：</w:t>
      </w:r>
      <w:r>
        <w:rPr>
          <w:rFonts w:hint="eastAsia" w:ascii="宋体" w:hAnsi="宋体" w:eastAsia="宋体" w:cs="仿宋"/>
          <w:b w:val="0"/>
          <w:bCs/>
          <w:color w:val="auto"/>
          <w:kern w:val="2"/>
          <w:sz w:val="24"/>
          <w:szCs w:val="24"/>
          <w:highlight w:val="none"/>
          <w:u w:val="single"/>
          <w:lang w:val="en-US" w:eastAsia="zh-CN" w:bidi="ar-SA"/>
        </w:rPr>
        <w:t>杭州临江环境能源有限公司</w:t>
      </w:r>
    </w:p>
    <w:p w14:paraId="7E445D74">
      <w:pPr>
        <w:pStyle w:val="4"/>
        <w:spacing w:before="0" w:after="0" w:line="360" w:lineRule="auto"/>
        <w:ind w:firstLine="480" w:firstLineChars="200"/>
        <w:rPr>
          <w:rFonts w:hint="eastAsia" w:ascii="宋体" w:hAnsi="宋体" w:eastAsia="宋体" w:cs="仿宋"/>
          <w:b w:val="0"/>
          <w:bCs/>
          <w:color w:val="auto"/>
          <w:kern w:val="2"/>
          <w:sz w:val="24"/>
          <w:szCs w:val="24"/>
          <w:highlight w:val="none"/>
          <w:lang w:val="en-US" w:eastAsia="zh-CN" w:bidi="ar-SA"/>
        </w:rPr>
      </w:pPr>
      <w:r>
        <w:rPr>
          <w:rFonts w:hint="eastAsia" w:ascii="宋体" w:hAnsi="宋体" w:eastAsia="宋体" w:cs="仿宋"/>
          <w:b w:val="0"/>
          <w:bCs/>
          <w:color w:val="auto"/>
          <w:kern w:val="2"/>
          <w:sz w:val="24"/>
          <w:szCs w:val="24"/>
          <w:highlight w:val="none"/>
          <w:lang w:val="en-US" w:eastAsia="zh-CN" w:bidi="ar-SA"/>
        </w:rPr>
        <w:t>开户银行：</w:t>
      </w:r>
      <w:r>
        <w:rPr>
          <w:rFonts w:hint="eastAsia" w:ascii="宋体" w:hAnsi="宋体" w:eastAsia="宋体" w:cs="仿宋"/>
          <w:b w:val="0"/>
          <w:bCs/>
          <w:color w:val="auto"/>
          <w:kern w:val="2"/>
          <w:sz w:val="24"/>
          <w:szCs w:val="24"/>
          <w:highlight w:val="none"/>
          <w:u w:val="single"/>
          <w:lang w:val="en-US" w:eastAsia="zh-CN" w:bidi="ar-SA"/>
        </w:rPr>
        <w:t>杭州银行大江东支行</w:t>
      </w:r>
    </w:p>
    <w:p w14:paraId="68801770">
      <w:pPr>
        <w:pStyle w:val="4"/>
        <w:spacing w:before="0" w:after="0" w:line="360" w:lineRule="auto"/>
        <w:ind w:firstLine="480" w:firstLineChars="200"/>
        <w:rPr>
          <w:rFonts w:hint="eastAsia" w:ascii="宋体" w:hAnsi="宋体" w:eastAsia="宋体" w:cs="仿宋"/>
          <w:b w:val="0"/>
          <w:bCs/>
          <w:color w:val="auto"/>
          <w:kern w:val="2"/>
          <w:sz w:val="24"/>
          <w:szCs w:val="24"/>
          <w:highlight w:val="none"/>
          <w:lang w:val="en-US" w:eastAsia="zh-CN" w:bidi="ar-SA"/>
        </w:rPr>
      </w:pPr>
      <w:r>
        <w:rPr>
          <w:rFonts w:hint="eastAsia" w:ascii="宋体" w:hAnsi="宋体" w:eastAsia="宋体" w:cs="仿宋"/>
          <w:b w:val="0"/>
          <w:bCs/>
          <w:color w:val="auto"/>
          <w:kern w:val="2"/>
          <w:sz w:val="24"/>
          <w:szCs w:val="24"/>
          <w:highlight w:val="none"/>
          <w:lang w:val="en-US" w:eastAsia="zh-CN" w:bidi="ar-SA"/>
        </w:rPr>
        <w:t>账    号：</w:t>
      </w:r>
      <w:r>
        <w:rPr>
          <w:rFonts w:hint="eastAsia" w:ascii="宋体" w:hAnsi="宋体" w:eastAsia="宋体" w:cs="仿宋"/>
          <w:b w:val="0"/>
          <w:bCs/>
          <w:color w:val="auto"/>
          <w:kern w:val="2"/>
          <w:sz w:val="24"/>
          <w:szCs w:val="24"/>
          <w:highlight w:val="none"/>
          <w:u w:val="single"/>
          <w:lang w:val="en-US" w:eastAsia="zh-CN" w:bidi="ar-SA"/>
        </w:rPr>
        <w:t>3301040160008775754</w:t>
      </w:r>
    </w:p>
    <w:p w14:paraId="62ED5CDF">
      <w:pPr>
        <w:spacing w:line="360" w:lineRule="auto"/>
        <w:ind w:firstLine="482" w:firstLineChars="200"/>
        <w:rPr>
          <w:rFonts w:hint="default" w:ascii="宋体" w:hAnsi="宋体" w:eastAsia="宋体" w:cs="仿宋"/>
          <w:b/>
          <w:bCs/>
          <w:color w:val="auto"/>
          <w:sz w:val="24"/>
          <w:highlight w:val="none"/>
          <w:lang w:val="en-US" w:eastAsia="zh-CN"/>
        </w:rPr>
      </w:pPr>
      <w:r>
        <w:rPr>
          <w:rFonts w:hint="eastAsia" w:ascii="宋体" w:hAnsi="宋体" w:cs="仿宋"/>
          <w:b/>
          <w:bCs/>
          <w:color w:val="auto"/>
          <w:sz w:val="24"/>
          <w:highlight w:val="none"/>
        </w:rPr>
        <w:t>五、响应文件递交</w:t>
      </w:r>
      <w:r>
        <w:rPr>
          <w:rFonts w:hint="eastAsia" w:ascii="宋体" w:hAnsi="宋体" w:cs="仿宋"/>
          <w:b/>
          <w:bCs/>
          <w:color w:val="auto"/>
          <w:sz w:val="24"/>
          <w:highlight w:val="none"/>
          <w:lang w:val="en-US" w:eastAsia="zh-CN"/>
        </w:rPr>
        <w:t>及开启</w:t>
      </w:r>
    </w:p>
    <w:p w14:paraId="31D054D2">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1.</w:t>
      </w:r>
      <w:r>
        <w:rPr>
          <w:rFonts w:hint="eastAsia" w:ascii="宋体" w:hAnsi="宋体" w:cs="仿宋"/>
          <w:color w:val="auto"/>
          <w:sz w:val="24"/>
          <w:highlight w:val="none"/>
          <w:lang w:val="en-US" w:eastAsia="zh-CN"/>
        </w:rPr>
        <w:t>递交</w:t>
      </w:r>
      <w:r>
        <w:rPr>
          <w:rFonts w:hint="eastAsia" w:ascii="宋体" w:hAnsi="宋体" w:cs="仿宋"/>
          <w:color w:val="auto"/>
          <w:sz w:val="24"/>
          <w:highlight w:val="none"/>
        </w:rPr>
        <w:t>截止时间</w:t>
      </w:r>
      <w:r>
        <w:rPr>
          <w:rFonts w:hint="eastAsia" w:ascii="宋体" w:hAnsi="宋体" w:cs="仿宋"/>
          <w:color w:val="auto"/>
          <w:sz w:val="24"/>
          <w:highlight w:val="none"/>
          <w:lang w:eastAsia="zh-CN"/>
        </w:rPr>
        <w:t>（</w:t>
      </w:r>
      <w:r>
        <w:rPr>
          <w:rFonts w:hint="eastAsia" w:ascii="宋体" w:hAnsi="宋体" w:cs="仿宋"/>
          <w:color w:val="auto"/>
          <w:sz w:val="24"/>
          <w:highlight w:val="none"/>
          <w:lang w:val="en-US" w:eastAsia="zh-CN"/>
        </w:rPr>
        <w:t>同响应文件</w:t>
      </w:r>
      <w:r>
        <w:rPr>
          <w:rFonts w:hint="eastAsia" w:ascii="宋体" w:hAnsi="宋体" w:cs="仿宋"/>
          <w:color w:val="auto"/>
          <w:sz w:val="24"/>
          <w:highlight w:val="none"/>
        </w:rPr>
        <w:t>开启时间</w:t>
      </w:r>
      <w:r>
        <w:rPr>
          <w:rFonts w:hint="eastAsia" w:ascii="宋体" w:hAnsi="宋体" w:cs="仿宋"/>
          <w:color w:val="auto"/>
          <w:sz w:val="24"/>
          <w:highlight w:val="none"/>
          <w:lang w:eastAsia="zh-CN"/>
        </w:rPr>
        <w:t>）</w:t>
      </w:r>
      <w:r>
        <w:rPr>
          <w:rFonts w:hint="eastAsia" w:ascii="宋体" w:hAnsi="宋体" w:cs="仿宋"/>
          <w:color w:val="auto"/>
          <w:sz w:val="24"/>
          <w:highlight w:val="none"/>
        </w:rPr>
        <w:t>：</w:t>
      </w:r>
      <w:r>
        <w:rPr>
          <w:rFonts w:hint="eastAsia" w:ascii="宋体" w:hAnsi="宋体" w:cs="仿宋"/>
          <w:color w:val="auto"/>
          <w:sz w:val="24"/>
          <w:highlight w:val="none"/>
          <w:u w:val="single"/>
          <w:lang w:eastAsia="zh-CN"/>
        </w:rPr>
        <w:t>2026年</w:t>
      </w:r>
      <w:r>
        <w:rPr>
          <w:rFonts w:hint="eastAsia" w:ascii="宋体" w:hAnsi="宋体" w:cs="仿宋"/>
          <w:color w:val="auto"/>
          <w:sz w:val="24"/>
          <w:highlight w:val="none"/>
          <w:u w:val="single"/>
          <w:lang w:val="en-US" w:eastAsia="zh-CN"/>
        </w:rPr>
        <w:t>5</w:t>
      </w:r>
      <w:r>
        <w:rPr>
          <w:rFonts w:hint="eastAsia" w:ascii="宋体" w:hAnsi="宋体" w:cs="仿宋"/>
          <w:bCs/>
          <w:color w:val="auto"/>
          <w:sz w:val="24"/>
          <w:highlight w:val="none"/>
          <w:u w:val="single"/>
        </w:rPr>
        <w:t>月</w:t>
      </w:r>
      <w:r>
        <w:rPr>
          <w:rFonts w:hint="eastAsia" w:ascii="宋体" w:hAnsi="宋体" w:cs="仿宋"/>
          <w:bCs/>
          <w:color w:val="auto"/>
          <w:sz w:val="24"/>
          <w:highlight w:val="none"/>
          <w:u w:val="single"/>
          <w:lang w:val="en-US" w:eastAsia="zh-CN"/>
        </w:rPr>
        <w:t>29</w:t>
      </w:r>
      <w:r>
        <w:rPr>
          <w:rFonts w:hint="eastAsia" w:ascii="宋体" w:hAnsi="宋体" w:cs="仿宋"/>
          <w:bCs/>
          <w:color w:val="auto"/>
          <w:sz w:val="24"/>
          <w:highlight w:val="none"/>
          <w:u w:val="single"/>
        </w:rPr>
        <w:t>日</w:t>
      </w:r>
      <w:r>
        <w:rPr>
          <w:rFonts w:hint="eastAsia" w:ascii="宋体" w:hAnsi="宋体" w:cs="仿宋"/>
          <w:bCs/>
          <w:color w:val="auto"/>
          <w:sz w:val="24"/>
          <w:highlight w:val="none"/>
          <w:u w:val="single"/>
          <w:lang w:val="en-US" w:eastAsia="zh-CN"/>
        </w:rPr>
        <w:t>9</w:t>
      </w:r>
      <w:r>
        <w:rPr>
          <w:rFonts w:hint="eastAsia" w:ascii="宋体" w:hAnsi="宋体" w:cs="仿宋"/>
          <w:bCs/>
          <w:color w:val="auto"/>
          <w:sz w:val="24"/>
          <w:highlight w:val="none"/>
          <w:u w:val="single"/>
        </w:rPr>
        <w:t>点</w:t>
      </w:r>
      <w:r>
        <w:rPr>
          <w:rFonts w:hint="eastAsia" w:ascii="宋体" w:hAnsi="宋体" w:cs="仿宋"/>
          <w:bCs/>
          <w:color w:val="auto"/>
          <w:sz w:val="24"/>
          <w:highlight w:val="none"/>
          <w:u w:val="single"/>
          <w:lang w:val="en-US" w:eastAsia="zh-CN"/>
        </w:rPr>
        <w:t>30</w:t>
      </w:r>
      <w:r>
        <w:rPr>
          <w:rFonts w:hint="eastAsia" w:ascii="宋体" w:hAnsi="宋体" w:cs="仿宋"/>
          <w:bCs/>
          <w:color w:val="auto"/>
          <w:sz w:val="24"/>
          <w:highlight w:val="none"/>
          <w:u w:val="single"/>
        </w:rPr>
        <w:t xml:space="preserve">分 </w:t>
      </w:r>
      <w:r>
        <w:rPr>
          <w:rFonts w:hint="eastAsia" w:ascii="宋体" w:hAnsi="宋体" w:cs="仿宋"/>
          <w:bCs/>
          <w:color w:val="auto"/>
          <w:sz w:val="24"/>
          <w:highlight w:val="none"/>
          <w:u w:val="single"/>
          <w:lang w:val="en-US" w:eastAsia="zh-CN"/>
        </w:rPr>
        <w:t>00</w:t>
      </w:r>
      <w:r>
        <w:rPr>
          <w:rFonts w:hint="eastAsia" w:ascii="宋体" w:hAnsi="宋体" w:cs="仿宋"/>
          <w:bCs/>
          <w:color w:val="auto"/>
          <w:sz w:val="24"/>
          <w:highlight w:val="none"/>
          <w:u w:val="single"/>
        </w:rPr>
        <w:t>秒</w:t>
      </w:r>
      <w:r>
        <w:rPr>
          <w:rFonts w:hint="eastAsia" w:ascii="宋体" w:hAnsi="宋体" w:cs="仿宋"/>
          <w:color w:val="auto"/>
          <w:sz w:val="24"/>
          <w:highlight w:val="none"/>
        </w:rPr>
        <w:t>（北京时间）。</w:t>
      </w:r>
    </w:p>
    <w:p w14:paraId="06D72634">
      <w:pPr>
        <w:spacing w:line="360" w:lineRule="auto"/>
        <w:ind w:firstLine="482" w:firstLineChars="200"/>
        <w:rPr>
          <w:rFonts w:hint="default" w:ascii="宋体" w:hAnsi="宋体" w:eastAsia="宋体" w:cs="仿宋"/>
          <w:b/>
          <w:bCs w:val="0"/>
          <w:color w:val="auto"/>
          <w:kern w:val="2"/>
          <w:sz w:val="24"/>
          <w:szCs w:val="24"/>
          <w:highlight w:val="none"/>
          <w:u w:val="single"/>
          <w:lang w:val="en-US" w:eastAsia="zh-CN" w:bidi="ar-SA"/>
        </w:rPr>
      </w:pPr>
      <w:r>
        <w:rPr>
          <w:rFonts w:hint="eastAsia" w:ascii="宋体" w:hAnsi="宋体" w:eastAsia="宋体" w:cs="仿宋"/>
          <w:b/>
          <w:bCs w:val="0"/>
          <w:color w:val="auto"/>
          <w:kern w:val="2"/>
          <w:sz w:val="24"/>
          <w:szCs w:val="24"/>
          <w:highlight w:val="none"/>
          <w:u w:val="single"/>
          <w:lang w:val="en-US" w:eastAsia="zh-CN" w:bidi="ar-SA"/>
        </w:rPr>
        <w:t>2.递交方式：电子方式递交。</w:t>
      </w:r>
      <w:r>
        <w:rPr>
          <w:rFonts w:hint="eastAsia" w:ascii="宋体" w:hAnsi="宋体" w:cs="仿宋"/>
          <w:b/>
          <w:bCs w:val="0"/>
          <w:color w:val="auto"/>
          <w:kern w:val="2"/>
          <w:sz w:val="24"/>
          <w:szCs w:val="24"/>
          <w:highlight w:val="none"/>
          <w:u w:val="single"/>
          <w:lang w:val="en-US" w:eastAsia="zh-CN" w:bidi="ar-SA"/>
        </w:rPr>
        <w:t>本项目不接受线下递交纸质文件的方式。</w:t>
      </w:r>
    </w:p>
    <w:p w14:paraId="43581096">
      <w:pPr>
        <w:spacing w:line="360" w:lineRule="auto"/>
        <w:ind w:firstLine="480" w:firstLineChars="200"/>
        <w:rPr>
          <w:rFonts w:hint="eastAsia" w:ascii="宋体" w:hAnsi="宋体" w:cs="仿宋"/>
          <w:color w:val="auto"/>
          <w:sz w:val="24"/>
          <w:highlight w:val="none"/>
        </w:rPr>
      </w:pPr>
      <w:r>
        <w:rPr>
          <w:rFonts w:hint="eastAsia" w:ascii="宋体" w:hAnsi="宋体" w:eastAsia="宋体" w:cs="仿宋"/>
          <w:bCs/>
          <w:color w:val="auto"/>
          <w:kern w:val="2"/>
          <w:sz w:val="24"/>
          <w:szCs w:val="24"/>
          <w:highlight w:val="none"/>
          <w:lang w:val="en-US" w:eastAsia="zh-CN" w:bidi="ar-SA"/>
        </w:rPr>
        <w:t>3.递交网址：</w:t>
      </w:r>
      <w:r>
        <w:rPr>
          <w:rFonts w:hint="eastAsia" w:ascii="宋体" w:hAnsi="宋体" w:cs="仿宋"/>
          <w:bCs/>
          <w:color w:val="auto"/>
          <w:kern w:val="2"/>
          <w:sz w:val="24"/>
          <w:szCs w:val="24"/>
          <w:highlight w:val="none"/>
          <w:lang w:val="en-US" w:eastAsia="zh-CN" w:bidi="ar-SA"/>
        </w:rPr>
        <w:t>在</w:t>
      </w:r>
      <w:r>
        <w:rPr>
          <w:rFonts w:hint="eastAsia" w:ascii="宋体" w:hAnsi="宋体" w:eastAsia="宋体" w:cs="仿宋"/>
          <w:bCs/>
          <w:color w:val="auto"/>
          <w:kern w:val="2"/>
          <w:sz w:val="24"/>
          <w:szCs w:val="24"/>
          <w:highlight w:val="none"/>
          <w:lang w:val="en-US" w:eastAsia="zh-CN" w:bidi="ar-SA"/>
        </w:rPr>
        <w:t>杭州临江环境能源有限公司供应链管理系统平台</w:t>
      </w:r>
      <w:r>
        <w:rPr>
          <w:rFonts w:hint="eastAsia" w:ascii="宋体" w:hAnsi="宋体" w:cs="仿宋"/>
          <w:bCs/>
          <w:color w:val="auto"/>
          <w:kern w:val="2"/>
          <w:sz w:val="24"/>
          <w:szCs w:val="24"/>
          <w:highlight w:val="none"/>
          <w:lang w:val="en-US" w:eastAsia="zh-CN" w:bidi="ar-SA"/>
        </w:rPr>
        <w:t>（</w:t>
      </w:r>
      <w:r>
        <w:rPr>
          <w:rFonts w:hint="eastAsia" w:ascii="宋体" w:hAnsi="宋体" w:eastAsia="宋体" w:cs="仿宋"/>
          <w:bCs/>
          <w:color w:val="auto"/>
          <w:kern w:val="2"/>
          <w:sz w:val="24"/>
          <w:szCs w:val="24"/>
          <w:highlight w:val="none"/>
          <w:lang w:val="en-US" w:eastAsia="zh-CN" w:bidi="ar-SA"/>
        </w:rPr>
        <w:t>https://www.ljhjgylpt.com:9280</w:t>
      </w:r>
      <w:r>
        <w:rPr>
          <w:rFonts w:hint="eastAsia" w:ascii="宋体" w:hAnsi="宋体" w:cs="仿宋"/>
          <w:bCs/>
          <w:color w:val="auto"/>
          <w:kern w:val="2"/>
          <w:sz w:val="24"/>
          <w:szCs w:val="24"/>
          <w:highlight w:val="none"/>
          <w:lang w:val="en-US" w:eastAsia="zh-CN" w:bidi="ar-SA"/>
        </w:rPr>
        <w:t>）</w:t>
      </w:r>
      <w:r>
        <w:rPr>
          <w:rFonts w:hint="eastAsia" w:ascii="宋体" w:hAnsi="宋体" w:eastAsia="宋体" w:cs="仿宋"/>
          <w:bCs/>
          <w:color w:val="auto"/>
          <w:kern w:val="2"/>
          <w:sz w:val="24"/>
          <w:szCs w:val="24"/>
          <w:highlight w:val="none"/>
          <w:lang w:val="en-US" w:eastAsia="zh-CN" w:bidi="ar-SA"/>
        </w:rPr>
        <w:t>完成注册后按平台要求提交响应文件。</w:t>
      </w:r>
    </w:p>
    <w:p w14:paraId="2A806282">
      <w:pPr>
        <w:spacing w:line="360" w:lineRule="auto"/>
        <w:ind w:firstLine="482" w:firstLineChars="200"/>
        <w:rPr>
          <w:rFonts w:hint="default" w:ascii="宋体" w:hAnsi="宋体" w:cs="仿宋"/>
          <w:b/>
          <w:bCs/>
          <w:color w:val="auto"/>
          <w:sz w:val="24"/>
          <w:highlight w:val="none"/>
          <w:lang w:val="en-US" w:eastAsia="zh-CN"/>
        </w:rPr>
      </w:pPr>
      <w:r>
        <w:rPr>
          <w:rFonts w:hint="eastAsia" w:ascii="宋体" w:hAnsi="宋体" w:cs="仿宋"/>
          <w:b/>
          <w:bCs/>
          <w:color w:val="auto"/>
          <w:sz w:val="24"/>
          <w:highlight w:val="none"/>
          <w:lang w:val="en-US" w:eastAsia="zh-CN"/>
        </w:rPr>
        <w:t>六、</w:t>
      </w:r>
      <w:r>
        <w:rPr>
          <w:rFonts w:hint="eastAsia" w:ascii="宋体" w:hAnsi="宋体" w:cs="仿宋"/>
          <w:b/>
          <w:bCs/>
          <w:color w:val="auto"/>
          <w:sz w:val="24"/>
          <w:highlight w:val="none"/>
        </w:rPr>
        <w:t>响应文件</w:t>
      </w:r>
      <w:r>
        <w:rPr>
          <w:rFonts w:hint="eastAsia" w:ascii="宋体" w:hAnsi="宋体" w:cs="仿宋"/>
          <w:b/>
          <w:bCs/>
          <w:color w:val="auto"/>
          <w:sz w:val="24"/>
          <w:highlight w:val="none"/>
          <w:lang w:val="en-US" w:eastAsia="zh-CN"/>
        </w:rPr>
        <w:t>开启</w:t>
      </w:r>
    </w:p>
    <w:p w14:paraId="4BA79E73">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lang w:val="en-US" w:eastAsia="zh-CN"/>
        </w:rPr>
        <w:t>1.</w:t>
      </w:r>
      <w:r>
        <w:rPr>
          <w:rFonts w:hint="eastAsia" w:ascii="宋体" w:hAnsi="宋体" w:cs="仿宋"/>
          <w:color w:val="auto"/>
          <w:sz w:val="24"/>
          <w:highlight w:val="none"/>
        </w:rPr>
        <w:t>本次询价</w:t>
      </w:r>
      <w:r>
        <w:rPr>
          <w:rFonts w:hint="eastAsia" w:ascii="宋体" w:hAnsi="宋体" w:cs="仿宋"/>
          <w:color w:val="auto"/>
          <w:sz w:val="24"/>
          <w:highlight w:val="none"/>
          <w:lang w:eastAsia="zh-CN"/>
        </w:rPr>
        <w:t>开启</w:t>
      </w:r>
      <w:r>
        <w:rPr>
          <w:rFonts w:hint="eastAsia" w:ascii="宋体" w:hAnsi="宋体" w:cs="仿宋"/>
          <w:color w:val="auto"/>
          <w:sz w:val="24"/>
          <w:highlight w:val="none"/>
        </w:rPr>
        <w:t>采用线上进行的方式，供应商可</w:t>
      </w:r>
      <w:r>
        <w:rPr>
          <w:rFonts w:hint="eastAsia" w:ascii="宋体" w:hAnsi="宋体" w:cs="仿宋"/>
          <w:color w:val="auto"/>
          <w:sz w:val="24"/>
          <w:highlight w:val="none"/>
          <w:lang w:eastAsia="zh-CN"/>
        </w:rPr>
        <w:t>通过</w:t>
      </w:r>
      <w:r>
        <w:rPr>
          <w:rFonts w:hint="eastAsia" w:ascii="宋体" w:hAnsi="宋体" w:cs="仿宋"/>
          <w:color w:val="auto"/>
          <w:sz w:val="24"/>
          <w:highlight w:val="none"/>
          <w:lang w:val="en-US" w:eastAsia="zh-CN"/>
        </w:rPr>
        <w:t>杭州临江环境能源有限公司供应链管理系统平台（https://www.ljhjgylpt.com:9280）</w:t>
      </w:r>
      <w:r>
        <w:rPr>
          <w:rFonts w:hint="eastAsia" w:ascii="宋体" w:hAnsi="宋体" w:cs="仿宋"/>
          <w:color w:val="auto"/>
          <w:sz w:val="24"/>
          <w:highlight w:val="none"/>
        </w:rPr>
        <w:t>参与现场</w:t>
      </w:r>
      <w:r>
        <w:rPr>
          <w:rFonts w:hint="eastAsia" w:ascii="宋体" w:hAnsi="宋体" w:cs="仿宋"/>
          <w:color w:val="auto"/>
          <w:sz w:val="24"/>
          <w:highlight w:val="none"/>
          <w:lang w:eastAsia="zh-CN"/>
        </w:rPr>
        <w:t>开启</w:t>
      </w:r>
      <w:r>
        <w:rPr>
          <w:rFonts w:hint="eastAsia" w:ascii="宋体" w:hAnsi="宋体" w:cs="仿宋"/>
          <w:color w:val="auto"/>
          <w:sz w:val="24"/>
          <w:highlight w:val="none"/>
        </w:rPr>
        <w:t>，请各供应商及时关注进入会场。</w:t>
      </w:r>
    </w:p>
    <w:p w14:paraId="47472E3E">
      <w:pPr>
        <w:spacing w:line="360" w:lineRule="auto"/>
        <w:ind w:firstLine="480" w:firstLineChars="200"/>
        <w:rPr>
          <w:rFonts w:hint="default" w:ascii="宋体" w:hAnsi="宋体" w:eastAsia="宋体" w:cs="仿宋"/>
          <w:color w:val="auto"/>
          <w:sz w:val="24"/>
          <w:highlight w:val="none"/>
          <w:lang w:val="en-US" w:eastAsia="zh-CN"/>
        </w:rPr>
      </w:pPr>
      <w:r>
        <w:rPr>
          <w:rFonts w:hint="eastAsia" w:ascii="宋体" w:hAnsi="宋体" w:cs="仿宋"/>
          <w:color w:val="auto"/>
          <w:sz w:val="24"/>
          <w:highlight w:val="none"/>
          <w:lang w:val="en-US" w:eastAsia="zh-CN"/>
        </w:rPr>
        <w:t>2.开启过程：</w:t>
      </w:r>
    </w:p>
    <w:p w14:paraId="585BAFFB">
      <w:pPr>
        <w:spacing w:line="360" w:lineRule="auto"/>
        <w:ind w:firstLine="480" w:firstLineChars="200"/>
        <w:rPr>
          <w:rFonts w:hint="eastAsia" w:ascii="宋体" w:hAnsi="宋体" w:cs="仿宋"/>
          <w:bCs/>
          <w:color w:val="auto"/>
          <w:kern w:val="2"/>
          <w:sz w:val="24"/>
          <w:szCs w:val="24"/>
          <w:highlight w:val="none"/>
          <w:lang w:val="en-US" w:eastAsia="zh-CN" w:bidi="ar-SA"/>
        </w:rPr>
      </w:pPr>
      <w:r>
        <w:rPr>
          <w:rFonts w:hint="eastAsia" w:ascii="宋体" w:hAnsi="宋体" w:cs="仿宋"/>
          <w:color w:val="auto"/>
          <w:sz w:val="24"/>
          <w:highlight w:val="none"/>
        </w:rPr>
        <w:t>（</w:t>
      </w:r>
      <w:r>
        <w:rPr>
          <w:rFonts w:hint="eastAsia" w:ascii="宋体" w:hAnsi="宋体" w:cs="仿宋"/>
          <w:color w:val="auto"/>
          <w:sz w:val="24"/>
          <w:highlight w:val="none"/>
          <w:lang w:val="en-US" w:eastAsia="zh-CN"/>
        </w:rPr>
        <w:t>1</w:t>
      </w:r>
      <w:r>
        <w:rPr>
          <w:rFonts w:hint="eastAsia" w:ascii="宋体" w:hAnsi="宋体" w:cs="仿宋"/>
          <w:color w:val="auto"/>
          <w:sz w:val="24"/>
          <w:highlight w:val="none"/>
        </w:rPr>
        <w:t>）</w:t>
      </w:r>
      <w:r>
        <w:rPr>
          <w:rFonts w:hint="eastAsia" w:ascii="宋体" w:hAnsi="宋体" w:eastAsia="宋体" w:cs="仿宋"/>
          <w:bCs/>
          <w:color w:val="auto"/>
          <w:kern w:val="2"/>
          <w:sz w:val="24"/>
          <w:szCs w:val="24"/>
          <w:highlight w:val="none"/>
          <w:lang w:val="en-US" w:eastAsia="zh-CN" w:bidi="ar-SA"/>
        </w:rPr>
        <w:t>供应链管理系统平台在开启时准时</w:t>
      </w:r>
      <w:r>
        <w:rPr>
          <w:rFonts w:hint="eastAsia" w:ascii="宋体" w:hAnsi="宋体" w:cs="仿宋"/>
          <w:bCs/>
          <w:color w:val="auto"/>
          <w:kern w:val="2"/>
          <w:sz w:val="24"/>
          <w:szCs w:val="24"/>
          <w:highlight w:val="none"/>
          <w:lang w:val="en-US" w:eastAsia="zh-CN" w:bidi="ar-SA"/>
        </w:rPr>
        <w:t>自动解密各供应商报价。</w:t>
      </w:r>
    </w:p>
    <w:p w14:paraId="06517171">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w:t>
      </w:r>
      <w:r>
        <w:rPr>
          <w:rFonts w:hint="eastAsia" w:ascii="宋体" w:hAnsi="宋体" w:cs="仿宋"/>
          <w:color w:val="auto"/>
          <w:sz w:val="24"/>
          <w:highlight w:val="none"/>
          <w:lang w:val="en-US" w:eastAsia="zh-CN"/>
        </w:rPr>
        <w:t>2</w:t>
      </w:r>
      <w:r>
        <w:rPr>
          <w:rFonts w:hint="eastAsia" w:ascii="宋体" w:hAnsi="宋体" w:cs="仿宋"/>
          <w:color w:val="auto"/>
          <w:sz w:val="24"/>
          <w:highlight w:val="none"/>
        </w:rPr>
        <w:t>）</w:t>
      </w:r>
      <w:r>
        <w:rPr>
          <w:rFonts w:hint="eastAsia" w:ascii="宋体" w:hAnsi="宋体" w:cs="仿宋"/>
          <w:color w:val="auto"/>
          <w:sz w:val="24"/>
          <w:highlight w:val="none"/>
          <w:lang w:eastAsia="zh-CN"/>
        </w:rPr>
        <w:t>开启</w:t>
      </w:r>
      <w:r>
        <w:rPr>
          <w:rFonts w:hint="eastAsia" w:ascii="宋体" w:hAnsi="宋体" w:cs="仿宋"/>
          <w:color w:val="auto"/>
          <w:sz w:val="24"/>
          <w:highlight w:val="none"/>
        </w:rPr>
        <w:t>期间供应商因未参加线上</w:t>
      </w:r>
      <w:r>
        <w:rPr>
          <w:rFonts w:hint="eastAsia" w:ascii="宋体" w:hAnsi="宋体" w:cs="仿宋"/>
          <w:color w:val="auto"/>
          <w:sz w:val="24"/>
          <w:highlight w:val="none"/>
          <w:lang w:val="en-US" w:eastAsia="zh-CN"/>
        </w:rPr>
        <w:t>会议</w:t>
      </w:r>
      <w:r>
        <w:rPr>
          <w:rFonts w:hint="eastAsia" w:ascii="宋体" w:hAnsi="宋体" w:cs="仿宋"/>
          <w:color w:val="auto"/>
          <w:sz w:val="24"/>
          <w:highlight w:val="none"/>
        </w:rPr>
        <w:t>，视为认可全过程和结果，不得提出异议。</w:t>
      </w:r>
    </w:p>
    <w:p w14:paraId="799D3174">
      <w:pPr>
        <w:spacing w:line="360" w:lineRule="auto"/>
        <w:ind w:firstLine="480" w:firstLineChars="200"/>
        <w:rPr>
          <w:color w:val="auto"/>
          <w:highlight w:val="none"/>
        </w:rPr>
      </w:pPr>
      <w:r>
        <w:rPr>
          <w:rFonts w:hint="eastAsia" w:ascii="宋体" w:hAnsi="宋体" w:cs="仿宋"/>
          <w:color w:val="auto"/>
          <w:sz w:val="24"/>
          <w:highlight w:val="none"/>
        </w:rPr>
        <w:t>（</w:t>
      </w:r>
      <w:r>
        <w:rPr>
          <w:rFonts w:hint="eastAsia" w:ascii="宋体" w:hAnsi="宋体" w:cs="仿宋"/>
          <w:color w:val="auto"/>
          <w:sz w:val="24"/>
          <w:highlight w:val="none"/>
          <w:lang w:val="en-US" w:eastAsia="zh-CN"/>
        </w:rPr>
        <w:t>3</w:t>
      </w:r>
      <w:r>
        <w:rPr>
          <w:rFonts w:hint="eastAsia" w:ascii="宋体" w:hAnsi="宋体" w:cs="仿宋"/>
          <w:color w:val="auto"/>
          <w:sz w:val="24"/>
          <w:highlight w:val="none"/>
        </w:rPr>
        <w:t>）异议处理：供应商对</w:t>
      </w:r>
      <w:r>
        <w:rPr>
          <w:rFonts w:hint="eastAsia" w:ascii="宋体" w:hAnsi="宋体" w:cs="仿宋"/>
          <w:color w:val="auto"/>
          <w:sz w:val="24"/>
          <w:highlight w:val="none"/>
          <w:lang w:eastAsia="zh-CN"/>
        </w:rPr>
        <w:t>开启</w:t>
      </w:r>
      <w:r>
        <w:rPr>
          <w:rFonts w:hint="eastAsia" w:ascii="宋体" w:hAnsi="宋体" w:cs="仿宋"/>
          <w:color w:val="auto"/>
          <w:sz w:val="24"/>
          <w:highlight w:val="none"/>
        </w:rPr>
        <w:t>过程有异议的，应</w:t>
      </w:r>
      <w:r>
        <w:rPr>
          <w:rFonts w:hint="eastAsia" w:ascii="宋体" w:hAnsi="宋体" w:cs="仿宋"/>
          <w:color w:val="auto"/>
          <w:sz w:val="24"/>
          <w:highlight w:val="none"/>
          <w:lang w:val="en-US" w:eastAsia="zh-CN"/>
        </w:rPr>
        <w:t>通过供应链管理系统平台（https://www.ljhjgylpt.com:9280）</w:t>
      </w:r>
      <w:r>
        <w:rPr>
          <w:rFonts w:hint="eastAsia" w:ascii="宋体" w:hAnsi="宋体" w:cs="仿宋"/>
          <w:color w:val="auto"/>
          <w:sz w:val="24"/>
          <w:highlight w:val="none"/>
        </w:rPr>
        <w:t>提出，采购人应予以答复，并做好记录。</w:t>
      </w:r>
    </w:p>
    <w:p w14:paraId="765E680C">
      <w:pPr>
        <w:spacing w:line="360" w:lineRule="auto"/>
        <w:ind w:firstLine="482" w:firstLineChars="200"/>
        <w:rPr>
          <w:rFonts w:ascii="宋体" w:hAnsi="宋体" w:cs="仿宋"/>
          <w:color w:val="auto"/>
          <w:sz w:val="24"/>
          <w:highlight w:val="none"/>
        </w:rPr>
      </w:pPr>
      <w:r>
        <w:rPr>
          <w:rFonts w:hint="eastAsia" w:ascii="宋体" w:hAnsi="宋体" w:cs="仿宋"/>
          <w:b/>
          <w:bCs/>
          <w:color w:val="auto"/>
          <w:sz w:val="24"/>
          <w:highlight w:val="none"/>
        </w:rPr>
        <w:t>七、质疑</w:t>
      </w:r>
    </w:p>
    <w:p w14:paraId="20FD738E">
      <w:pPr>
        <w:spacing w:line="360" w:lineRule="auto"/>
        <w:jc w:val="left"/>
        <w:rPr>
          <w:rFonts w:ascii="宋体" w:hAnsi="宋体" w:cs="仿宋"/>
          <w:color w:val="auto"/>
          <w:sz w:val="24"/>
          <w:highlight w:val="none"/>
        </w:rPr>
      </w:pPr>
      <w:r>
        <w:rPr>
          <w:rFonts w:hint="eastAsia" w:ascii="宋体" w:hAnsi="宋体" w:cs="仿宋"/>
          <w:color w:val="auto"/>
          <w:sz w:val="24"/>
          <w:highlight w:val="none"/>
        </w:rPr>
        <w:t xml:space="preserve">    供应商如认为本询价采购文件使自身的合法权益受到损害的，应于自公告之日起2日内，</w:t>
      </w:r>
      <w:r>
        <w:rPr>
          <w:rFonts w:hint="eastAsia" w:ascii="宋体" w:hAnsi="宋体" w:cs="仿宋"/>
          <w:color w:val="auto"/>
          <w:sz w:val="24"/>
          <w:highlight w:val="none"/>
          <w:lang w:val="en-US" w:eastAsia="zh-CN"/>
        </w:rPr>
        <w:t>在供应链管理系统平台（https://www.ljhjgylpt.com:9280）中</w:t>
      </w:r>
      <w:r>
        <w:rPr>
          <w:rFonts w:hint="eastAsia" w:ascii="宋体" w:hAnsi="宋体" w:cs="仿宋"/>
          <w:color w:val="auto"/>
          <w:sz w:val="24"/>
          <w:highlight w:val="none"/>
        </w:rPr>
        <w:t>以书面形式提出质疑，同时联系本项目采购</w:t>
      </w:r>
      <w:r>
        <w:rPr>
          <w:rFonts w:hint="eastAsia" w:ascii="宋体" w:hAnsi="宋体" w:cs="仿宋"/>
          <w:snapToGrid w:val="0"/>
          <w:color w:val="auto"/>
          <w:kern w:val="0"/>
          <w:sz w:val="24"/>
          <w:highlight w:val="none"/>
        </w:rPr>
        <w:t>工作人</w:t>
      </w:r>
      <w:r>
        <w:rPr>
          <w:rFonts w:hint="eastAsia" w:ascii="宋体" w:hAnsi="宋体" w:cs="仿宋"/>
          <w:color w:val="auto"/>
          <w:sz w:val="24"/>
          <w:highlight w:val="none"/>
        </w:rPr>
        <w:t>员。逾期视作无异议。</w:t>
      </w:r>
    </w:p>
    <w:p w14:paraId="530535A8">
      <w:pPr>
        <w:spacing w:line="360" w:lineRule="auto"/>
        <w:ind w:firstLine="482" w:firstLineChars="200"/>
        <w:rPr>
          <w:rFonts w:ascii="宋体" w:hAnsi="宋体" w:cs="仿宋"/>
          <w:b/>
          <w:bCs/>
          <w:color w:val="auto"/>
          <w:sz w:val="24"/>
          <w:highlight w:val="none"/>
        </w:rPr>
      </w:pPr>
      <w:r>
        <w:rPr>
          <w:rFonts w:hint="eastAsia" w:ascii="宋体" w:hAnsi="宋体" w:cs="仿宋"/>
          <w:b/>
          <w:bCs/>
          <w:color w:val="auto"/>
          <w:sz w:val="24"/>
          <w:highlight w:val="none"/>
        </w:rPr>
        <w:t>八、</w:t>
      </w:r>
      <w:r>
        <w:rPr>
          <w:rFonts w:hint="eastAsia" w:ascii="宋体" w:hAnsi="宋体" w:cs="仿宋"/>
          <w:b/>
          <w:bCs/>
          <w:color w:val="auto"/>
          <w:sz w:val="24"/>
          <w:highlight w:val="none"/>
          <w:lang w:val="en-US" w:eastAsia="zh-CN"/>
        </w:rPr>
        <w:t>业务</w:t>
      </w:r>
      <w:r>
        <w:rPr>
          <w:rFonts w:hint="eastAsia" w:ascii="宋体" w:hAnsi="宋体" w:cs="仿宋"/>
          <w:b/>
          <w:bCs/>
          <w:color w:val="auto"/>
          <w:sz w:val="24"/>
          <w:highlight w:val="none"/>
        </w:rPr>
        <w:t>联系方式</w:t>
      </w:r>
    </w:p>
    <w:p w14:paraId="6B38996B">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eastAsia="zh-CN"/>
        </w:rPr>
        <w:t>经办</w:t>
      </w: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lang w:val="en-US" w:eastAsia="zh-CN"/>
        </w:rPr>
        <w:t xml:space="preserve">   </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rPr>
        <w:t xml:space="preserve"> 联系电话：0571-81997921 </w:t>
      </w:r>
    </w:p>
    <w:p w14:paraId="0B26C85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仿宋"/>
          <w:b/>
          <w:bCs/>
          <w:color w:val="auto"/>
          <w:sz w:val="24"/>
          <w:highlight w:val="none"/>
          <w:lang w:val="en-US" w:eastAsia="zh-CN"/>
        </w:rPr>
      </w:pPr>
      <w:r>
        <w:rPr>
          <w:rFonts w:hint="eastAsia" w:ascii="宋体" w:hAnsi="宋体" w:cs="仿宋"/>
          <w:b/>
          <w:bCs/>
          <w:color w:val="auto"/>
          <w:sz w:val="24"/>
          <w:highlight w:val="none"/>
          <w:lang w:val="en-US" w:eastAsia="zh-CN"/>
        </w:rPr>
        <w:t>九、监督部门</w:t>
      </w:r>
    </w:p>
    <w:p w14:paraId="2E25031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rPr>
        <w:t>监管单位：</w:t>
      </w:r>
      <w:r>
        <w:rPr>
          <w:rFonts w:hint="eastAsia" w:ascii="宋体" w:hAnsi="宋体" w:cs="仿宋"/>
          <w:color w:val="auto"/>
          <w:sz w:val="24"/>
          <w:highlight w:val="none"/>
          <w:lang w:val="en-US" w:eastAsia="zh-CN"/>
        </w:rPr>
        <w:t xml:space="preserve"> 杭州临江环境能源有限公司监察审计部</w:t>
      </w:r>
      <w:r>
        <w:rPr>
          <w:rFonts w:hint="eastAsia" w:ascii="宋体" w:hAnsi="宋体" w:cs="仿宋"/>
          <w:color w:val="auto"/>
          <w:sz w:val="24"/>
          <w:highlight w:val="none"/>
        </w:rPr>
        <w:tab/>
      </w:r>
    </w:p>
    <w:p w14:paraId="4CC75D6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rPr>
        <w:t>地    址：</w:t>
      </w:r>
      <w:r>
        <w:rPr>
          <w:rFonts w:hint="eastAsia" w:ascii="宋体" w:hAnsi="宋体" w:cs="仿宋"/>
          <w:color w:val="auto"/>
          <w:sz w:val="24"/>
          <w:highlight w:val="none"/>
          <w:lang w:eastAsia="zh-CN"/>
        </w:rPr>
        <w:t>浙江省杭州市钱塘区临江街道红十五路10388-123号</w:t>
      </w:r>
      <w:r>
        <w:rPr>
          <w:rFonts w:hint="eastAsia" w:ascii="宋体" w:hAnsi="宋体" w:cs="仿宋"/>
          <w:color w:val="auto"/>
          <w:sz w:val="24"/>
          <w:highlight w:val="none"/>
        </w:rPr>
        <w:tab/>
      </w:r>
    </w:p>
    <w:p w14:paraId="745E2A1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rPr>
        <w:t>联 系 人：</w:t>
      </w:r>
      <w:r>
        <w:rPr>
          <w:rFonts w:hint="eastAsia" w:ascii="宋体" w:hAnsi="宋体" w:cs="仿宋"/>
          <w:color w:val="auto"/>
          <w:sz w:val="24"/>
          <w:highlight w:val="none"/>
          <w:lang w:val="en-US" w:eastAsia="zh-CN"/>
        </w:rPr>
        <w:t>李工</w:t>
      </w:r>
      <w:r>
        <w:rPr>
          <w:rFonts w:hint="eastAsia" w:ascii="宋体" w:hAnsi="宋体" w:cs="仿宋"/>
          <w:color w:val="auto"/>
          <w:sz w:val="24"/>
          <w:highlight w:val="none"/>
        </w:rPr>
        <w:tab/>
      </w:r>
    </w:p>
    <w:p w14:paraId="3A055BB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rPr>
        <w:t>电    话：</w:t>
      </w:r>
      <w:r>
        <w:rPr>
          <w:rFonts w:hint="eastAsia" w:ascii="宋体" w:hAnsi="宋体" w:cs="仿宋"/>
          <w:color w:val="auto"/>
          <w:sz w:val="24"/>
          <w:highlight w:val="none"/>
          <w:lang w:val="en-US" w:eastAsia="zh-CN"/>
        </w:rPr>
        <w:t>0571-81997962</w:t>
      </w:r>
      <w:r>
        <w:rPr>
          <w:rFonts w:hint="eastAsia" w:ascii="宋体" w:hAnsi="宋体" w:cs="仿宋"/>
          <w:color w:val="auto"/>
          <w:sz w:val="24"/>
          <w:highlight w:val="none"/>
        </w:rPr>
        <w:tab/>
      </w:r>
    </w:p>
    <w:p w14:paraId="22D13075">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cs="仿宋"/>
          <w:color w:val="auto"/>
          <w:sz w:val="24"/>
          <w:highlight w:val="none"/>
        </w:rPr>
      </w:pPr>
    </w:p>
    <w:p w14:paraId="63568FBB">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cs="仿宋"/>
          <w:color w:val="auto"/>
          <w:sz w:val="24"/>
          <w:highlight w:val="none"/>
        </w:rPr>
      </w:pPr>
      <w:r>
        <w:rPr>
          <w:rFonts w:hint="eastAsia" w:ascii="宋体" w:hAnsi="宋体" w:cs="仿宋"/>
          <w:color w:val="auto"/>
          <w:sz w:val="24"/>
          <w:highlight w:val="none"/>
        </w:rPr>
        <w:t>杭州</w:t>
      </w:r>
      <w:r>
        <w:rPr>
          <w:rFonts w:hint="eastAsia" w:ascii="宋体" w:hAnsi="宋体" w:cs="仿宋"/>
          <w:color w:val="auto"/>
          <w:sz w:val="24"/>
          <w:highlight w:val="none"/>
          <w:lang w:eastAsia="zh-CN"/>
        </w:rPr>
        <w:t>临江环境能源</w:t>
      </w:r>
      <w:r>
        <w:rPr>
          <w:rFonts w:hint="eastAsia" w:ascii="宋体" w:hAnsi="宋体" w:cs="仿宋"/>
          <w:color w:val="auto"/>
          <w:sz w:val="24"/>
          <w:highlight w:val="none"/>
        </w:rPr>
        <w:t>有限公司</w:t>
      </w:r>
    </w:p>
    <w:p w14:paraId="42C2ABDB">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ascii="宋体" w:hAnsi="宋体" w:cs="仿宋"/>
          <w:b/>
          <w:bCs/>
          <w:color w:val="auto"/>
          <w:sz w:val="24"/>
          <w:highlight w:val="none"/>
        </w:rPr>
      </w:pPr>
      <w:r>
        <w:rPr>
          <w:rFonts w:hint="eastAsia" w:ascii="宋体" w:hAnsi="宋体" w:cs="仿宋"/>
          <w:color w:val="auto"/>
          <w:sz w:val="24"/>
          <w:highlight w:val="none"/>
          <w:lang w:val="en-US" w:eastAsia="zh-CN"/>
        </w:rPr>
        <w:t>2026年5月21日</w:t>
      </w:r>
    </w:p>
    <w:p w14:paraId="107CDCA5">
      <w:pPr>
        <w:spacing w:line="460" w:lineRule="exact"/>
        <w:jc w:val="center"/>
        <w:rPr>
          <w:rFonts w:cs="仿宋" w:asciiTheme="minorEastAsia" w:hAnsiTheme="minorEastAsia"/>
          <w:b/>
          <w:bCs/>
          <w:color w:val="auto"/>
          <w:sz w:val="36"/>
          <w:szCs w:val="36"/>
          <w:highlight w:val="none"/>
        </w:rPr>
      </w:pPr>
    </w:p>
    <w:p w14:paraId="0F366541">
      <w:pPr>
        <w:spacing w:line="460" w:lineRule="exact"/>
        <w:jc w:val="center"/>
        <w:rPr>
          <w:rFonts w:cs="仿宋" w:asciiTheme="minorEastAsia" w:hAnsiTheme="minorEastAsia"/>
          <w:b/>
          <w:bCs/>
          <w:color w:val="auto"/>
          <w:sz w:val="36"/>
          <w:szCs w:val="36"/>
          <w:highlight w:val="none"/>
        </w:rPr>
      </w:pPr>
    </w:p>
    <w:p w14:paraId="7FA4153D">
      <w:pPr>
        <w:pStyle w:val="16"/>
        <w:jc w:val="both"/>
        <w:rPr>
          <w:rFonts w:cs="仿宋" w:asciiTheme="minorEastAsia" w:hAnsiTheme="minorEastAsia"/>
          <w:b/>
          <w:bCs/>
          <w:color w:val="auto"/>
          <w:sz w:val="36"/>
          <w:szCs w:val="36"/>
          <w:highlight w:val="none"/>
        </w:rPr>
      </w:pPr>
    </w:p>
    <w:p w14:paraId="4E737E09">
      <w:pPr>
        <w:rPr>
          <w:rFonts w:cs="仿宋" w:asciiTheme="minorEastAsia" w:hAnsiTheme="minorEastAsia"/>
          <w:b/>
          <w:bCs/>
          <w:color w:val="auto"/>
          <w:sz w:val="36"/>
          <w:szCs w:val="36"/>
          <w:highlight w:val="none"/>
        </w:rPr>
      </w:pPr>
    </w:p>
    <w:p w14:paraId="46A13E1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lang w:val="en-US" w:eastAsia="zh-CN"/>
                  </w:rPr>
                  <w:t>在线上传提交盖章版DPF格式报价文件</w:t>
                </w:r>
                <w:r>
                  <w:rPr>
                    <w:rFonts w:hint="eastAsia" w:ascii="宋体" w:hAnsi="宋体" w:eastAsia="宋体" w:cs="宋体"/>
                    <w:color w:val="auto"/>
                    <w:szCs w:val="21"/>
                    <w:highlight w:val="none"/>
                    <w:lang w:eastAsia="zh-CN"/>
                  </w:rPr>
                  <w:t xml:space="preserve">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w:t>
                </w:r>
                <w:r>
                  <w:rPr>
                    <w:rFonts w:hint="eastAsia" w:ascii="宋体" w:hAnsi="宋体" w:eastAsia="宋体" w:cs="宋体"/>
                    <w:b/>
                    <w:bCs/>
                    <w:color w:val="auto"/>
                    <w:szCs w:val="21"/>
                    <w:highlight w:val="none"/>
                    <w:lang w:val="en-US" w:eastAsia="zh-CN"/>
                  </w:rPr>
                  <w:t>原件</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kern w:val="0"/>
                <w:szCs w:val="21"/>
                <w:highlight w:val="none"/>
                <w:lang w:val="en-US" w:eastAsia="zh-CN"/>
              </w:rPr>
              <w:t>电子</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w:t>
            </w:r>
            <w:r>
              <w:rPr>
                <w:rFonts w:hint="eastAsia" w:ascii="宋体" w:hAnsi="宋体" w:eastAsia="宋体" w:cs="宋体"/>
                <w:b/>
                <w:bCs/>
                <w:color w:val="auto"/>
                <w:szCs w:val="21"/>
                <w:highlight w:val="none"/>
                <w:lang w:val="en-US" w:eastAsia="zh-CN"/>
              </w:rPr>
              <w:t>PDF</w:t>
            </w:r>
            <w:r>
              <w:rPr>
                <w:rFonts w:hint="eastAsia" w:ascii="宋体" w:hAnsi="宋体" w:eastAsia="宋体" w:cs="宋体"/>
                <w:b/>
                <w:bCs/>
                <w:color w:val="auto"/>
                <w:szCs w:val="21"/>
                <w:highlight w:val="none"/>
              </w:rPr>
              <w:t>报价函与</w:t>
            </w:r>
            <w:r>
              <w:rPr>
                <w:rFonts w:hint="eastAsia" w:ascii="宋体" w:hAnsi="宋体" w:eastAsia="宋体" w:cs="宋体"/>
                <w:b/>
                <w:bCs/>
                <w:color w:val="auto"/>
                <w:szCs w:val="21"/>
                <w:highlight w:val="none"/>
                <w:lang w:val="en-US" w:eastAsia="zh-CN"/>
              </w:rPr>
              <w:t>电子</w:t>
            </w:r>
            <w:r>
              <w:rPr>
                <w:rFonts w:hint="eastAsia" w:ascii="宋体" w:hAnsi="宋体" w:eastAsia="宋体" w:cs="宋体"/>
                <w:b/>
                <w:bCs/>
                <w:color w:val="auto"/>
                <w:szCs w:val="21"/>
                <w:highlight w:val="none"/>
              </w:rPr>
              <w:t>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en-US" w:eastAsia="zh-CN"/>
              </w:rPr>
              <w:t>电子</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3"/>
              <w:snapToGrid w:val="0"/>
              <w:spacing w:line="400" w:lineRule="exact"/>
              <w:ind w:firstLine="0" w:firstLineChars="0"/>
              <w:jc w:val="left"/>
              <w:rPr>
                <w:rFonts w:hint="default" w:ascii="宋体" w:hAnsi="宋体" w:cs="宋体" w:eastAsiaTheme="minorEastAsia"/>
                <w:color w:val="auto"/>
                <w:highlight w:val="none"/>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2610DA7">
            <w:pPr>
              <w:pStyle w:val="21"/>
              <w:snapToGrid w:val="0"/>
              <w:spacing w:line="400" w:lineRule="exact"/>
              <w:ind w:right="42" w:rightChars="20"/>
              <w:rPr>
                <w:rFonts w:hint="default" w:eastAsia="宋体"/>
                <w:color w:val="auto"/>
                <w:highlight w:val="none"/>
                <w:lang w:val="en-US" w:eastAsia="zh-CN"/>
              </w:rPr>
            </w:pPr>
            <w:r>
              <w:rPr>
                <w:rFonts w:hint="eastAsia"/>
                <w:color w:val="auto"/>
                <w:highlight w:val="none"/>
                <w:lang w:val="en-US" w:eastAsia="zh-CN"/>
              </w:rPr>
              <w:t>无</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color w:val="auto"/>
          <w:sz w:val="32"/>
          <w:szCs w:val="20"/>
          <w:highlight w:val="none"/>
        </w:rPr>
      </w:pPr>
    </w:p>
    <w:p w14:paraId="07D368AF">
      <w:pPr>
        <w:spacing w:line="360" w:lineRule="auto"/>
        <w:jc w:val="center"/>
        <w:outlineLvl w:val="0"/>
        <w:rPr>
          <w:rFonts w:cs="仿宋" w:asciiTheme="minorEastAsia" w:hAnsiTheme="minorEastAsia"/>
          <w:b/>
          <w:color w:val="auto"/>
          <w:sz w:val="32"/>
          <w:szCs w:val="20"/>
          <w:highlight w:val="none"/>
        </w:rPr>
      </w:pPr>
    </w:p>
    <w:p w14:paraId="36F0FA67">
      <w:pPr>
        <w:spacing w:line="360" w:lineRule="auto"/>
        <w:jc w:val="center"/>
        <w:outlineLvl w:val="0"/>
        <w:rPr>
          <w:rFonts w:cs="仿宋" w:asciiTheme="minorEastAsia" w:hAnsiTheme="minorEastAsia"/>
          <w:b/>
          <w:color w:val="auto"/>
          <w:sz w:val="32"/>
          <w:szCs w:val="20"/>
          <w:highlight w:val="none"/>
        </w:rPr>
      </w:pPr>
    </w:p>
    <w:p w14:paraId="6811CF11">
      <w:pPr>
        <w:pStyle w:val="8"/>
        <w:rPr>
          <w:rFonts w:cs="仿宋" w:asciiTheme="minorEastAsia" w:hAnsiTheme="minorEastAsia"/>
          <w:b/>
          <w:color w:val="auto"/>
          <w:sz w:val="32"/>
          <w:szCs w:val="20"/>
          <w:highlight w:val="none"/>
        </w:rPr>
      </w:pPr>
    </w:p>
    <w:p w14:paraId="0623FCB0">
      <w:pPr>
        <w:pStyle w:val="9"/>
        <w:rPr>
          <w:rFonts w:cs="仿宋" w:asciiTheme="minorEastAsia" w:hAnsiTheme="minorEastAsia"/>
          <w:b/>
          <w:color w:val="auto"/>
          <w:sz w:val="32"/>
          <w:szCs w:val="20"/>
          <w:highlight w:val="none"/>
        </w:rPr>
      </w:pPr>
    </w:p>
    <w:p w14:paraId="09BCF4F8">
      <w:pPr>
        <w:pStyle w:val="14"/>
        <w:rPr>
          <w:rFonts w:cs="仿宋" w:asciiTheme="minorEastAsia" w:hAnsiTheme="minorEastAsia"/>
          <w:b/>
          <w:color w:val="auto"/>
          <w:sz w:val="32"/>
          <w:szCs w:val="20"/>
          <w:highlight w:val="none"/>
        </w:rPr>
      </w:pPr>
    </w:p>
    <w:p w14:paraId="6274D4B6">
      <w:pPr>
        <w:rPr>
          <w:color w:val="auto"/>
          <w:highlight w:val="none"/>
        </w:rPr>
      </w:pPr>
    </w:p>
    <w:p w14:paraId="4FF69C1D">
      <w:pPr>
        <w:pStyle w:val="16"/>
        <w:rPr>
          <w:color w:val="auto"/>
          <w:highlight w:val="none"/>
        </w:rPr>
      </w:pPr>
    </w:p>
    <w:p w14:paraId="56E3BE9F">
      <w:pPr>
        <w:rPr>
          <w:color w:val="auto"/>
          <w:highlight w:val="none"/>
        </w:rPr>
      </w:pPr>
    </w:p>
    <w:p w14:paraId="50443E34">
      <w:pPr>
        <w:pStyle w:val="16"/>
        <w:rPr>
          <w:color w:val="auto"/>
          <w:highlight w:val="none"/>
        </w:rPr>
      </w:pPr>
    </w:p>
    <w:p w14:paraId="40ACAE6D">
      <w:pPr>
        <w:rPr>
          <w:color w:val="auto"/>
          <w:highlight w:val="none"/>
        </w:rPr>
      </w:pPr>
    </w:p>
    <w:p w14:paraId="0601B635">
      <w:pPr>
        <w:pStyle w:val="16"/>
        <w:rPr>
          <w:color w:val="auto"/>
          <w:highlight w:val="none"/>
        </w:rPr>
      </w:pPr>
    </w:p>
    <w:p w14:paraId="5E708E6D">
      <w:pPr>
        <w:rPr>
          <w:color w:val="auto"/>
          <w:highlight w:val="none"/>
        </w:rPr>
      </w:pPr>
    </w:p>
    <w:p w14:paraId="6822F385">
      <w:pPr>
        <w:pStyle w:val="14"/>
        <w:rPr>
          <w:rFonts w:cs="仿宋" w:asciiTheme="minorEastAsia" w:hAnsiTheme="minorEastAsia"/>
          <w:b/>
          <w:color w:val="auto"/>
          <w:sz w:val="32"/>
          <w:szCs w:val="20"/>
          <w:highlight w:val="none"/>
        </w:rPr>
      </w:pPr>
    </w:p>
    <w:p w14:paraId="15B30E1B">
      <w:pPr>
        <w:rPr>
          <w:rFonts w:cs="仿宋" w:asciiTheme="minorEastAsia" w:hAnsiTheme="minorEastAsia"/>
          <w:b/>
          <w:color w:val="auto"/>
          <w:sz w:val="32"/>
          <w:szCs w:val="20"/>
          <w:highlight w:val="none"/>
        </w:rPr>
      </w:pPr>
    </w:p>
    <w:p w14:paraId="1A018D1A">
      <w:pPr>
        <w:pStyle w:val="16"/>
        <w:rPr>
          <w:rFonts w:cs="仿宋" w:asciiTheme="minorEastAsia" w:hAnsiTheme="minorEastAsia"/>
          <w:b/>
          <w:color w:val="auto"/>
          <w:sz w:val="32"/>
          <w:szCs w:val="20"/>
          <w:highlight w:val="none"/>
        </w:rPr>
      </w:pPr>
    </w:p>
    <w:p w14:paraId="137C8292">
      <w:pPr>
        <w:rPr>
          <w:color w:val="auto"/>
          <w:highlight w:val="none"/>
        </w:rPr>
      </w:pPr>
    </w:p>
    <w:p w14:paraId="757476A5">
      <w:pPr>
        <w:rPr>
          <w:color w:val="auto"/>
          <w:highlight w:val="none"/>
        </w:rPr>
      </w:pPr>
    </w:p>
    <w:p w14:paraId="16FCF633">
      <w:pPr>
        <w:rPr>
          <w:rFonts w:cs="仿宋" w:asciiTheme="minorEastAsia" w:hAnsiTheme="minorEastAsia"/>
          <w:b/>
          <w:color w:val="auto"/>
          <w:sz w:val="32"/>
          <w:szCs w:val="20"/>
          <w:highlight w:val="none"/>
        </w:rPr>
      </w:pPr>
    </w:p>
    <w:p w14:paraId="6CCBC666">
      <w:pPr>
        <w:rPr>
          <w:rFonts w:cs="仿宋" w:asciiTheme="minorEastAsia" w:hAnsiTheme="minorEastAsia"/>
          <w:b/>
          <w:color w:val="auto"/>
          <w:sz w:val="32"/>
          <w:szCs w:val="20"/>
          <w:highlight w:val="none"/>
        </w:rPr>
      </w:pPr>
    </w:p>
    <w:p w14:paraId="2B5EEB40">
      <w:pPr>
        <w:rPr>
          <w:rFonts w:cs="仿宋" w:asciiTheme="minorEastAsia" w:hAnsiTheme="minorEastAsia"/>
          <w:b/>
          <w:color w:val="auto"/>
          <w:sz w:val="32"/>
          <w:szCs w:val="20"/>
          <w:highlight w:val="none"/>
        </w:rPr>
      </w:pPr>
    </w:p>
    <w:p w14:paraId="2696A088">
      <w:pPr>
        <w:rPr>
          <w:rFonts w:cs="仿宋" w:asciiTheme="minorEastAsia" w:hAnsiTheme="minorEastAsia"/>
          <w:b/>
          <w:color w:val="auto"/>
          <w:sz w:val="32"/>
          <w:szCs w:val="20"/>
          <w:highlight w:val="none"/>
        </w:rPr>
      </w:pPr>
    </w:p>
    <w:p w14:paraId="62A85A79">
      <w:pPr>
        <w:rPr>
          <w:rFonts w:cs="仿宋" w:asciiTheme="minorEastAsia" w:hAnsiTheme="minorEastAsia"/>
          <w:b/>
          <w:color w:val="auto"/>
          <w:sz w:val="32"/>
          <w:szCs w:val="20"/>
          <w:highlight w:val="none"/>
        </w:rPr>
      </w:pPr>
    </w:p>
    <w:p w14:paraId="0EBAD553">
      <w:pPr>
        <w:rPr>
          <w:rFonts w:cs="仿宋" w:asciiTheme="minorEastAsia" w:hAnsiTheme="minorEastAsia"/>
          <w:b/>
          <w:color w:val="auto"/>
          <w:sz w:val="32"/>
          <w:szCs w:val="20"/>
          <w:highlight w:val="none"/>
        </w:rPr>
      </w:pPr>
    </w:p>
    <w:p w14:paraId="39F6F1F8">
      <w:pPr>
        <w:rPr>
          <w:rFonts w:cs="仿宋" w:asciiTheme="minorEastAsia" w:hAnsiTheme="minorEastAsia"/>
          <w:b/>
          <w:color w:val="auto"/>
          <w:sz w:val="32"/>
          <w:szCs w:val="20"/>
          <w:highlight w:val="none"/>
        </w:rPr>
      </w:pPr>
    </w:p>
    <w:p w14:paraId="76F8BB00">
      <w:pPr>
        <w:rPr>
          <w:color w:val="auto"/>
          <w:highlight w:val="none"/>
        </w:rPr>
      </w:pPr>
    </w:p>
    <w:p w14:paraId="79B8233C">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color w:val="auto"/>
          <w:sz w:val="18"/>
          <w:szCs w:val="18"/>
          <w:highlight w:val="none"/>
          <w:lang w:val="en-US"/>
        </w:rPr>
      </w:pPr>
    </w:p>
    <w:p w14:paraId="20AC5772">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1"/>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1"/>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9.1.2年审有效期内的营业执照、授权书（若有）；</w:t>
      </w:r>
    </w:p>
    <w:p w14:paraId="18E756BA">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lang w:eastAsia="zh-CN"/>
        </w:rPr>
        <w:t>；</w:t>
      </w:r>
    </w:p>
    <w:p w14:paraId="380CB3B1">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9.1.5未被列入信用中国”(www.creditchina.gov.cn)、中国政府采购网(www.ccgp.gov.cn)等官方网站列入严重失信、政府采购严重违法失信行为名单截图。</w:t>
      </w:r>
    </w:p>
    <w:p w14:paraId="3DBE97F6">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4"/>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4"/>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w:t>
      </w:r>
      <w:r>
        <w:rPr>
          <w:rFonts w:hint="eastAsia" w:cs="仿宋" w:asciiTheme="minorEastAsia" w:hAnsiTheme="minorEastAsia"/>
          <w:color w:val="auto"/>
          <w:szCs w:val="24"/>
          <w:highlight w:val="none"/>
          <w:lang w:val="en-US" w:eastAsia="zh-CN"/>
        </w:rPr>
        <w:t>系统将无法递交</w:t>
      </w:r>
      <w:r>
        <w:rPr>
          <w:rFonts w:hint="eastAsia" w:cs="仿宋" w:asciiTheme="minorEastAsia" w:hAnsiTheme="minorEastAsia"/>
          <w:color w:val="auto"/>
          <w:szCs w:val="24"/>
          <w:highlight w:val="none"/>
        </w:rPr>
        <w:t>响应文件。</w:t>
      </w:r>
    </w:p>
    <w:p w14:paraId="7D011505">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w:t>
      </w:r>
      <w:r>
        <w:rPr>
          <w:rFonts w:hint="eastAsia" w:cs="仿宋" w:asciiTheme="minorEastAsia" w:hAnsiTheme="minorEastAsia"/>
          <w:color w:val="auto"/>
          <w:szCs w:val="24"/>
          <w:highlight w:val="none"/>
          <w:lang w:val="en-US" w:eastAsia="zh-CN"/>
        </w:rPr>
        <w:t>提前</w:t>
      </w:r>
      <w:r>
        <w:rPr>
          <w:rFonts w:hint="eastAsia" w:cs="仿宋" w:asciiTheme="minorEastAsia" w:hAnsiTheme="minorEastAsia"/>
          <w:color w:val="auto"/>
          <w:szCs w:val="24"/>
          <w:highlight w:val="none"/>
        </w:rPr>
        <w:t>开启</w:t>
      </w:r>
      <w:r>
        <w:rPr>
          <w:rFonts w:hint="eastAsia" w:cs="仿宋" w:asciiTheme="minorEastAsia" w:hAnsiTheme="minorEastAsia"/>
          <w:color w:val="auto"/>
          <w:szCs w:val="24"/>
          <w:highlight w:val="none"/>
          <w:lang w:val="en-US" w:eastAsia="zh-CN"/>
        </w:rPr>
        <w:t>电子</w:t>
      </w:r>
      <w:r>
        <w:rPr>
          <w:rFonts w:hint="eastAsia" w:cs="仿宋" w:asciiTheme="minorEastAsia" w:hAnsiTheme="minorEastAsia"/>
          <w:color w:val="auto"/>
          <w:szCs w:val="24"/>
          <w:highlight w:val="none"/>
        </w:rPr>
        <w:t>响应文件。</w:t>
      </w:r>
    </w:p>
    <w:p w14:paraId="15D7C447">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10"/>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4"/>
        <w:spacing w:before="0"/>
        <w:ind w:firstLine="0" w:firstLineChars="0"/>
        <w:jc w:val="center"/>
        <w:rPr>
          <w:rFonts w:cs="仿宋" w:asciiTheme="minorEastAsia" w:hAnsiTheme="minorEastAsia"/>
          <w:b/>
          <w:color w:val="auto"/>
          <w:sz w:val="32"/>
          <w:highlight w:val="none"/>
        </w:rPr>
      </w:pPr>
    </w:p>
    <w:p w14:paraId="36E6A26A">
      <w:pPr>
        <w:pStyle w:val="24"/>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5"/>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5"/>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w:t>
      </w:r>
      <w:r>
        <w:rPr>
          <w:rFonts w:hint="eastAsia" w:cs="仿宋" w:asciiTheme="minorEastAsia" w:hAnsiTheme="minorEastAsia" w:eastAsiaTheme="minorEastAsia"/>
          <w:color w:val="auto"/>
          <w:sz w:val="24"/>
          <w:highlight w:val="none"/>
          <w:lang w:val="en-US" w:eastAsia="zh-CN"/>
        </w:rPr>
        <w:t>线上电子</w:t>
      </w:r>
      <w:r>
        <w:rPr>
          <w:rFonts w:hint="eastAsia" w:cs="仿宋" w:asciiTheme="minorEastAsia" w:hAnsiTheme="minorEastAsia" w:eastAsiaTheme="minorEastAsia"/>
          <w:color w:val="auto"/>
          <w:sz w:val="24"/>
          <w:highlight w:val="none"/>
        </w:rPr>
        <w:t>开启，邀请所有供应商参加</w:t>
      </w:r>
      <w:r>
        <w:rPr>
          <w:rFonts w:hint="eastAsia" w:cs="仿宋" w:asciiTheme="minorEastAsia" w:hAnsiTheme="minorEastAsia" w:eastAsiaTheme="minorEastAsia"/>
          <w:color w:val="auto"/>
          <w:sz w:val="24"/>
          <w:highlight w:val="none"/>
          <w:lang w:val="en-US" w:eastAsia="zh-CN"/>
        </w:rPr>
        <w:t>线上电子</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。供应商不足3家的，不得开启响应文件。</w:t>
      </w:r>
    </w:p>
    <w:p w14:paraId="50BEE6EA">
      <w:pPr>
        <w:pStyle w:val="25"/>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严重失信、政府采购严重违法失信行为名单,将被拒绝参与杭州临江环境能源有限公司采购活动。</w:t>
      </w:r>
    </w:p>
    <w:p w14:paraId="7B1F490E">
      <w:pPr>
        <w:pStyle w:val="24"/>
        <w:spacing w:before="0"/>
        <w:ind w:firstLine="495" w:firstLineChars="0"/>
        <w:rPr>
          <w:rFonts w:cs="仿宋" w:asciiTheme="minorEastAsia" w:hAnsiTheme="minorEastAsia"/>
          <w:color w:val="auto"/>
          <w:kern w:val="0"/>
          <w:szCs w:val="24"/>
          <w:highlight w:val="none"/>
        </w:rPr>
      </w:pPr>
    </w:p>
    <w:p w14:paraId="09C7ED89">
      <w:pPr>
        <w:pStyle w:val="24"/>
        <w:spacing w:before="0"/>
        <w:ind w:firstLine="480"/>
        <w:rPr>
          <w:rFonts w:cs="仿宋" w:asciiTheme="minorEastAsia" w:hAnsiTheme="minorEastAsia"/>
          <w:color w:val="auto"/>
          <w:kern w:val="0"/>
          <w:szCs w:val="24"/>
          <w:highlight w:val="none"/>
        </w:rPr>
      </w:pPr>
    </w:p>
    <w:p w14:paraId="390F9A36">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pacing w:line="360" w:lineRule="auto"/>
        <w:ind w:firstLine="482" w:firstLineChars="200"/>
        <w:rPr>
          <w:rFonts w:cs="仿宋" w:asciiTheme="minorEastAsia" w:hAnsiTheme="minorEastAsia"/>
          <w:b/>
          <w:color w:val="auto"/>
          <w:sz w:val="24"/>
          <w:highlight w:val="none"/>
        </w:rPr>
      </w:pPr>
      <w:bookmarkStart w:id="1"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pacing w:line="360" w:lineRule="auto"/>
        <w:rPr>
          <w:rFonts w:cs="仿宋" w:asciiTheme="minorEastAsia" w:hAnsiTheme="minorEastAsia"/>
          <w:b/>
          <w:color w:val="auto"/>
          <w:sz w:val="24"/>
          <w:highlight w:val="none"/>
        </w:rPr>
      </w:pPr>
    </w:p>
    <w:p w14:paraId="0DF8308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4"/>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4"/>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4"/>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4"/>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10"/>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tabs>
          <w:tab w:val="left" w:pos="1121"/>
        </w:tabs>
        <w:adjustRightInd w:val="0"/>
        <w:snapToGrid w:val="0"/>
        <w:spacing w:line="360" w:lineRule="auto"/>
        <w:ind w:firstLine="480" w:firstLineChars="200"/>
        <w:jc w:val="left"/>
        <w:rPr>
          <w:rFonts w:hint="default" w:cs="仿宋" w:asciiTheme="minorEastAsia" w:hAnsiTheme="minorEastAsia" w:eastAsiaTheme="minorEastAsia"/>
          <w:color w:val="auto"/>
          <w:sz w:val="24"/>
          <w:szCs w:val="20"/>
          <w:highlight w:val="none"/>
          <w:lang w:val="en-US" w:eastAsia="zh-CN"/>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w:t>
      </w:r>
      <w:r>
        <w:rPr>
          <w:rFonts w:hint="eastAsia" w:cs="仿宋" w:asciiTheme="minorEastAsia" w:hAnsiTheme="minorEastAsia"/>
          <w:color w:val="auto"/>
          <w:sz w:val="24"/>
          <w:szCs w:val="20"/>
          <w:highlight w:val="none"/>
          <w:lang w:eastAsia="zh-CN"/>
        </w:rPr>
        <w:t>，</w:t>
      </w:r>
      <w:r>
        <w:rPr>
          <w:rFonts w:hint="eastAsia" w:cs="仿宋" w:asciiTheme="minorEastAsia" w:hAnsiTheme="minorEastAsia"/>
          <w:color w:val="auto"/>
          <w:sz w:val="24"/>
          <w:szCs w:val="20"/>
          <w:highlight w:val="none"/>
          <w:lang w:val="en-US" w:eastAsia="zh-CN"/>
        </w:rPr>
        <w:t>按合同条款执行。</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263790F8">
      <w:pPr>
        <w:tabs>
          <w:tab w:val="left" w:pos="0"/>
        </w:tabs>
        <w:spacing w:line="360" w:lineRule="auto"/>
        <w:ind w:firstLine="480"/>
        <w:rPr>
          <w:rFonts w:hint="eastAsia" w:cs="仿宋" w:asciiTheme="minorEastAsia" w:hAnsiTheme="minorEastAsia"/>
          <w:color w:val="auto"/>
          <w:sz w:val="24"/>
          <w:szCs w:val="20"/>
          <w:highlight w:val="none"/>
          <w:lang w:val="en-US" w:eastAsia="zh-CN"/>
        </w:rPr>
      </w:pPr>
      <w:r>
        <w:rPr>
          <w:rFonts w:hint="eastAsia" w:cs="仿宋" w:asciiTheme="minorEastAsia" w:hAnsiTheme="minorEastAsia"/>
          <w:color w:val="auto"/>
          <w:sz w:val="24"/>
          <w:szCs w:val="20"/>
          <w:highlight w:val="none"/>
          <w:lang w:val="en-US" w:eastAsia="zh-CN"/>
        </w:rPr>
        <w:t>按合同条款执行。</w:t>
      </w:r>
    </w:p>
    <w:p w14:paraId="509E8A0A">
      <w:pPr>
        <w:pStyle w:val="16"/>
        <w:rPr>
          <w:color w:val="auto"/>
          <w:highlight w:val="none"/>
        </w:rPr>
      </w:pPr>
    </w:p>
    <w:p w14:paraId="480BD75A">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供应商的询价保证金将在按要求缴</w:t>
      </w:r>
      <w:r>
        <w:rPr>
          <w:rFonts w:hint="eastAsia" w:cs="仿宋" w:asciiTheme="minorEastAsia" w:hAnsiTheme="minorEastAsia"/>
          <w:color w:val="auto"/>
          <w:sz w:val="24"/>
          <w:szCs w:val="20"/>
          <w:highlight w:val="none"/>
          <w:lang w:val="en-US" w:eastAsia="zh-CN"/>
        </w:rPr>
        <w:t>合同</w:t>
      </w:r>
      <w:r>
        <w:rPr>
          <w:rFonts w:hint="eastAsia" w:cs="仿宋" w:asciiTheme="minorEastAsia" w:hAnsiTheme="minorEastAsia"/>
          <w:color w:val="auto"/>
          <w:sz w:val="24"/>
          <w:szCs w:val="20"/>
          <w:highlight w:val="none"/>
        </w:rPr>
        <w:t>纳履约保证金</w:t>
      </w:r>
      <w:r>
        <w:rPr>
          <w:rFonts w:hint="eastAsia" w:cs="仿宋" w:asciiTheme="minorEastAsia" w:hAnsiTheme="minorEastAsia"/>
          <w:color w:val="auto"/>
          <w:sz w:val="24"/>
          <w:szCs w:val="20"/>
          <w:highlight w:val="none"/>
          <w:lang w:val="en-US" w:eastAsia="zh-CN"/>
        </w:rPr>
        <w:t>并完成合同签订后</w:t>
      </w:r>
      <w:r>
        <w:rPr>
          <w:rFonts w:hint="eastAsia" w:cs="仿宋" w:asciiTheme="minorEastAsia" w:hAnsiTheme="minorEastAsia"/>
          <w:color w:val="auto"/>
          <w:sz w:val="24"/>
          <w:szCs w:val="20"/>
          <w:highlight w:val="none"/>
        </w:rPr>
        <w:t xml:space="preserve">15个日历日内予以退还（不计利息）。退保证金前，供应商必须提供加盖公章或财务专用章的收款收据。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w:t>
      </w:r>
      <w:r>
        <w:rPr>
          <w:rFonts w:hint="eastAsia" w:cs="仿宋" w:asciiTheme="minorEastAsia" w:hAnsiTheme="minorEastAsia"/>
          <w:color w:val="auto"/>
          <w:sz w:val="24"/>
          <w:szCs w:val="20"/>
          <w:highlight w:val="none"/>
          <w:lang w:eastAsia="zh-CN"/>
        </w:rPr>
        <w:t>在</w:t>
      </w:r>
      <w:r>
        <w:rPr>
          <w:rFonts w:hint="eastAsia" w:cs="仿宋" w:asciiTheme="minorEastAsia" w:hAnsiTheme="minorEastAsia"/>
          <w:color w:val="auto"/>
          <w:sz w:val="24"/>
          <w:szCs w:val="20"/>
          <w:highlight w:val="none"/>
          <w:lang w:val="en-US" w:eastAsia="zh-CN"/>
        </w:rPr>
        <w:t>成交</w:t>
      </w:r>
      <w:r>
        <w:rPr>
          <w:rFonts w:hint="eastAsia" w:cs="仿宋" w:asciiTheme="minorEastAsia" w:hAnsiTheme="minorEastAsia"/>
          <w:color w:val="auto"/>
          <w:sz w:val="24"/>
          <w:szCs w:val="20"/>
          <w:highlight w:val="none"/>
        </w:rPr>
        <w:t xml:space="preserve">通知书发出后15个日历日内予以退还（不计利息）。退保证金前，供应商必须提供加盖公章或财务专用章的收款收据。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10"/>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1"/>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
    </w:p>
    <w:p w14:paraId="75425ACF">
      <w:pPr>
        <w:rPr>
          <w:rFonts w:cs="仿宋" w:asciiTheme="minorEastAsia" w:hAnsiTheme="minorEastAsia"/>
          <w:color w:val="auto"/>
          <w:kern w:val="0"/>
          <w:sz w:val="24"/>
          <w:highlight w:val="none"/>
        </w:rPr>
      </w:pPr>
    </w:p>
    <w:p w14:paraId="7FB7A831">
      <w:pPr>
        <w:pStyle w:val="8"/>
        <w:rPr>
          <w:color w:val="auto"/>
          <w:highlight w:val="none"/>
        </w:rPr>
      </w:pPr>
    </w:p>
    <w:p w14:paraId="6BD2BBA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50ED82C2">
      <w:pPr>
        <w:pStyle w:val="8"/>
        <w:ind w:firstLine="480" w:firstLineChars="200"/>
        <w:rPr>
          <w:rFonts w:hint="eastAsia"/>
          <w:color w:val="auto"/>
          <w:highlight w:val="none"/>
          <w:lang w:val="en-US" w:eastAsia="zh-CN"/>
        </w:rPr>
      </w:pPr>
      <w:r>
        <w:rPr>
          <w:rFonts w:hint="eastAsia"/>
          <w:color w:val="auto"/>
          <w:highlight w:val="none"/>
          <w:lang w:val="en-US" w:eastAsia="zh-CN"/>
        </w:rPr>
        <w:t>1.采购项目简介：</w:t>
      </w:r>
    </w:p>
    <w:p w14:paraId="3EC96731">
      <w:pPr>
        <w:pStyle w:val="8"/>
        <w:ind w:firstLine="480" w:firstLineChars="200"/>
        <w:rPr>
          <w:rFonts w:hint="default"/>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rPr>
        <w:t>杭州临江环境能源有限公司因日常生产需要，需</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cstheme="minorEastAsia"/>
          <w:color w:val="auto"/>
          <w:sz w:val="24"/>
          <w:szCs w:val="24"/>
          <w:highlight w:val="none"/>
          <w:lang w:val="en-US" w:eastAsia="zh-CN"/>
        </w:rPr>
        <w:t>平迪凯特料位开关一</w:t>
      </w:r>
      <w:r>
        <w:rPr>
          <w:rFonts w:hint="eastAsia" w:asciiTheme="minorEastAsia" w:hAnsiTheme="minorEastAsia" w:eastAsiaTheme="minorEastAsia" w:cstheme="minorEastAsia"/>
          <w:color w:val="auto"/>
          <w:sz w:val="24"/>
          <w:szCs w:val="24"/>
          <w:highlight w:val="none"/>
          <w:lang w:val="en-US" w:eastAsia="zh-CN"/>
        </w:rPr>
        <w:t>批</w:t>
      </w:r>
      <w:r>
        <w:rPr>
          <w:rFonts w:hint="eastAsia"/>
          <w:color w:val="auto"/>
          <w:highlight w:val="none"/>
          <w:lang w:val="en-US" w:eastAsia="zh-CN"/>
        </w:rPr>
        <w:t>。</w:t>
      </w:r>
    </w:p>
    <w:p w14:paraId="453418D9">
      <w:pPr>
        <w:pStyle w:val="8"/>
        <w:numPr>
          <w:ilvl w:val="0"/>
          <w:numId w:val="1"/>
        </w:numPr>
        <w:ind w:firstLine="480" w:firstLineChars="200"/>
        <w:rPr>
          <w:rFonts w:hint="eastAsia"/>
          <w:color w:val="auto"/>
          <w:highlight w:val="none"/>
          <w:lang w:val="en-US"/>
        </w:rPr>
      </w:pPr>
      <w:r>
        <w:rPr>
          <w:rFonts w:hint="eastAsia"/>
          <w:color w:val="auto"/>
          <w:highlight w:val="none"/>
          <w:lang w:val="en-US" w:eastAsia="zh-CN"/>
        </w:rPr>
        <w:t>内容清单</w:t>
      </w:r>
      <w:r>
        <w:rPr>
          <w:rFonts w:hint="eastAsia"/>
          <w:color w:val="auto"/>
          <w:highlight w:val="none"/>
          <w:lang w:val="en-US"/>
        </w:rPr>
        <w:t>：</w:t>
      </w:r>
    </w:p>
    <w:tbl>
      <w:tblPr>
        <w:tblStyle w:val="17"/>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40"/>
        <w:gridCol w:w="1029"/>
        <w:gridCol w:w="1614"/>
        <w:gridCol w:w="4630"/>
        <w:gridCol w:w="544"/>
        <w:gridCol w:w="759"/>
      </w:tblGrid>
      <w:tr w14:paraId="44D4FE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3" w:hRule="atLeast"/>
        </w:trPr>
        <w:tc>
          <w:tcPr>
            <w:tcW w:w="296" w:type="pct"/>
            <w:tcBorders>
              <w:tl2br w:val="nil"/>
              <w:tr2bl w:val="nil"/>
            </w:tcBorders>
            <w:shd w:val="clear" w:color="auto" w:fill="auto"/>
            <w:vAlign w:val="center"/>
          </w:tcPr>
          <w:p w14:paraId="224BE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64" w:type="pct"/>
            <w:tcBorders>
              <w:tl2br w:val="nil"/>
              <w:tr2bl w:val="nil"/>
            </w:tcBorders>
            <w:shd w:val="clear" w:color="auto" w:fill="auto"/>
            <w:vAlign w:val="center"/>
          </w:tcPr>
          <w:p w14:paraId="78809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物资/服务名称</w:t>
            </w:r>
          </w:p>
        </w:tc>
        <w:tc>
          <w:tcPr>
            <w:tcW w:w="885" w:type="pct"/>
            <w:tcBorders>
              <w:tl2br w:val="nil"/>
              <w:tr2bl w:val="nil"/>
            </w:tcBorders>
            <w:shd w:val="clear" w:color="auto" w:fill="auto"/>
            <w:vAlign w:val="center"/>
          </w:tcPr>
          <w:p w14:paraId="7DD9C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2538" w:type="pct"/>
            <w:tcBorders>
              <w:tl2br w:val="nil"/>
              <w:tr2bl w:val="nil"/>
            </w:tcBorders>
            <w:shd w:val="clear" w:color="auto" w:fill="auto"/>
            <w:vAlign w:val="center"/>
          </w:tcPr>
          <w:p w14:paraId="120CE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298" w:type="pct"/>
            <w:tcBorders>
              <w:tl2br w:val="nil"/>
              <w:tr2bl w:val="nil"/>
            </w:tcBorders>
            <w:shd w:val="clear" w:color="auto" w:fill="auto"/>
            <w:vAlign w:val="center"/>
          </w:tcPr>
          <w:p w14:paraId="4B751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16" w:type="pct"/>
            <w:tcBorders>
              <w:tl2br w:val="nil"/>
              <w:tr2bl w:val="nil"/>
            </w:tcBorders>
            <w:shd w:val="clear" w:color="auto" w:fill="auto"/>
            <w:vAlign w:val="center"/>
          </w:tcPr>
          <w:p w14:paraId="7D3F7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r>
      <w:tr w14:paraId="1E2D18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3" w:hRule="atLeast"/>
        </w:trPr>
        <w:tc>
          <w:tcPr>
            <w:tcW w:w="296" w:type="pct"/>
            <w:tcBorders>
              <w:tl2br w:val="nil"/>
              <w:tr2bl w:val="nil"/>
            </w:tcBorders>
            <w:shd w:val="clear" w:color="auto" w:fill="auto"/>
            <w:vAlign w:val="center"/>
          </w:tcPr>
          <w:p w14:paraId="2467A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64" w:type="pct"/>
            <w:tcBorders>
              <w:tl2br w:val="nil"/>
              <w:tr2bl w:val="nil"/>
            </w:tcBorders>
            <w:shd w:val="clear" w:color="auto" w:fill="auto"/>
            <w:vAlign w:val="center"/>
          </w:tcPr>
          <w:p w14:paraId="01988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阻旋式料位开关</w:t>
            </w:r>
          </w:p>
        </w:tc>
        <w:tc>
          <w:tcPr>
            <w:tcW w:w="885" w:type="pct"/>
            <w:tcBorders>
              <w:tl2br w:val="nil"/>
              <w:tr2bl w:val="nil"/>
            </w:tcBorders>
            <w:shd w:val="clear" w:color="auto" w:fill="auto"/>
            <w:vAlign w:val="center"/>
          </w:tcPr>
          <w:p w14:paraId="524CA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Bindicator(平迪凯特)</w:t>
            </w:r>
          </w:p>
        </w:tc>
        <w:tc>
          <w:tcPr>
            <w:tcW w:w="2538" w:type="pct"/>
            <w:tcBorders>
              <w:tl2br w:val="nil"/>
              <w:tr2bl w:val="nil"/>
            </w:tcBorders>
            <w:shd w:val="clear" w:color="auto" w:fill="auto"/>
            <w:vAlign w:val="center"/>
          </w:tcPr>
          <w:p w14:paraId="58CD1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型号：PRGZ3-Y3A04G 24VDC L=550mm，IP67，R1 1/2"螺纹，普通型</w:t>
            </w:r>
          </w:p>
        </w:tc>
        <w:tc>
          <w:tcPr>
            <w:tcW w:w="298" w:type="pct"/>
            <w:tcBorders>
              <w:tl2br w:val="nil"/>
              <w:tr2bl w:val="nil"/>
            </w:tcBorders>
            <w:shd w:val="clear" w:color="auto" w:fill="auto"/>
            <w:vAlign w:val="center"/>
          </w:tcPr>
          <w:p w14:paraId="07EA1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16" w:type="pct"/>
            <w:tcBorders>
              <w:tl2br w:val="nil"/>
              <w:tr2bl w:val="nil"/>
            </w:tcBorders>
            <w:shd w:val="clear" w:color="auto" w:fill="auto"/>
            <w:vAlign w:val="center"/>
          </w:tcPr>
          <w:p w14:paraId="65CD8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20B9ED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3" w:hRule="atLeast"/>
        </w:trPr>
        <w:tc>
          <w:tcPr>
            <w:tcW w:w="296" w:type="pct"/>
            <w:tcBorders>
              <w:tl2br w:val="nil"/>
              <w:tr2bl w:val="nil"/>
            </w:tcBorders>
            <w:shd w:val="clear" w:color="auto" w:fill="auto"/>
            <w:vAlign w:val="center"/>
          </w:tcPr>
          <w:p w14:paraId="551E8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64" w:type="pct"/>
            <w:tcBorders>
              <w:tl2br w:val="nil"/>
              <w:tr2bl w:val="nil"/>
            </w:tcBorders>
            <w:shd w:val="clear" w:color="auto" w:fill="auto"/>
            <w:vAlign w:val="center"/>
          </w:tcPr>
          <w:p w14:paraId="4641D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阻旋式料位开关</w:t>
            </w:r>
          </w:p>
        </w:tc>
        <w:tc>
          <w:tcPr>
            <w:tcW w:w="885" w:type="pct"/>
            <w:tcBorders>
              <w:tl2br w:val="nil"/>
              <w:tr2bl w:val="nil"/>
            </w:tcBorders>
            <w:shd w:val="clear" w:color="auto" w:fill="auto"/>
            <w:vAlign w:val="center"/>
          </w:tcPr>
          <w:p w14:paraId="3A2AA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Bindicator(平迪凯特)</w:t>
            </w:r>
          </w:p>
        </w:tc>
        <w:tc>
          <w:tcPr>
            <w:tcW w:w="2538" w:type="pct"/>
            <w:tcBorders>
              <w:tl2br w:val="nil"/>
              <w:tr2bl w:val="nil"/>
            </w:tcBorders>
            <w:shd w:val="clear" w:color="auto" w:fill="auto"/>
            <w:vAlign w:val="center"/>
          </w:tcPr>
          <w:p w14:paraId="17583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型号：PRGZ3-Y3A0B4 24VDC L=400mm，IP67，R1 1/2"螺纹，普通型</w:t>
            </w:r>
          </w:p>
        </w:tc>
        <w:tc>
          <w:tcPr>
            <w:tcW w:w="298" w:type="pct"/>
            <w:tcBorders>
              <w:tl2br w:val="nil"/>
              <w:tr2bl w:val="nil"/>
            </w:tcBorders>
            <w:shd w:val="clear" w:color="auto" w:fill="auto"/>
            <w:vAlign w:val="center"/>
          </w:tcPr>
          <w:p w14:paraId="63333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16" w:type="pct"/>
            <w:tcBorders>
              <w:tl2br w:val="nil"/>
              <w:tr2bl w:val="nil"/>
            </w:tcBorders>
            <w:shd w:val="clear" w:color="auto" w:fill="auto"/>
            <w:vAlign w:val="center"/>
          </w:tcPr>
          <w:p w14:paraId="410F8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15FFC0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3" w:hRule="atLeast"/>
        </w:trPr>
        <w:tc>
          <w:tcPr>
            <w:tcW w:w="296" w:type="pct"/>
            <w:tcBorders>
              <w:tl2br w:val="nil"/>
              <w:tr2bl w:val="nil"/>
            </w:tcBorders>
            <w:shd w:val="clear" w:color="auto" w:fill="auto"/>
            <w:vAlign w:val="center"/>
          </w:tcPr>
          <w:p w14:paraId="39A2D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64" w:type="pct"/>
            <w:tcBorders>
              <w:tl2br w:val="nil"/>
              <w:tr2bl w:val="nil"/>
            </w:tcBorders>
            <w:shd w:val="clear" w:color="auto" w:fill="auto"/>
            <w:vAlign w:val="center"/>
          </w:tcPr>
          <w:p w14:paraId="62F97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音叉液位开关</w:t>
            </w:r>
          </w:p>
        </w:tc>
        <w:tc>
          <w:tcPr>
            <w:tcW w:w="885" w:type="pct"/>
            <w:tcBorders>
              <w:tl2br w:val="nil"/>
              <w:tr2bl w:val="nil"/>
            </w:tcBorders>
            <w:shd w:val="clear" w:color="auto" w:fill="auto"/>
            <w:vAlign w:val="center"/>
          </w:tcPr>
          <w:p w14:paraId="1A64E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Bindicator(平迪凯特)</w:t>
            </w:r>
          </w:p>
        </w:tc>
        <w:tc>
          <w:tcPr>
            <w:tcW w:w="2538" w:type="pct"/>
            <w:tcBorders>
              <w:tl2br w:val="nil"/>
              <w:tr2bl w:val="nil"/>
            </w:tcBorders>
            <w:shd w:val="clear" w:color="auto" w:fill="auto"/>
            <w:vAlign w:val="center"/>
          </w:tcPr>
          <w:p w14:paraId="1EDA7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型号：Bindico-RnA1MTMR21L-400，220V，DN80法兰型</w:t>
            </w:r>
          </w:p>
        </w:tc>
        <w:tc>
          <w:tcPr>
            <w:tcW w:w="298" w:type="pct"/>
            <w:tcBorders>
              <w:tl2br w:val="nil"/>
              <w:tr2bl w:val="nil"/>
            </w:tcBorders>
            <w:shd w:val="clear" w:color="auto" w:fill="auto"/>
            <w:vAlign w:val="center"/>
          </w:tcPr>
          <w:p w14:paraId="3ABA6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16" w:type="pct"/>
            <w:tcBorders>
              <w:tl2br w:val="nil"/>
              <w:tr2bl w:val="nil"/>
            </w:tcBorders>
            <w:shd w:val="clear" w:color="auto" w:fill="auto"/>
            <w:vAlign w:val="center"/>
          </w:tcPr>
          <w:p w14:paraId="08768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53A66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63" w:hRule="atLeast"/>
        </w:trPr>
        <w:tc>
          <w:tcPr>
            <w:tcW w:w="296" w:type="pct"/>
            <w:tcBorders>
              <w:tl2br w:val="nil"/>
              <w:tr2bl w:val="nil"/>
            </w:tcBorders>
            <w:shd w:val="clear" w:color="auto" w:fill="auto"/>
            <w:vAlign w:val="center"/>
          </w:tcPr>
          <w:p w14:paraId="67F96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64" w:type="pct"/>
            <w:tcBorders>
              <w:tl2br w:val="nil"/>
              <w:tr2bl w:val="nil"/>
            </w:tcBorders>
            <w:shd w:val="clear" w:color="auto" w:fill="auto"/>
            <w:vAlign w:val="center"/>
          </w:tcPr>
          <w:p w14:paraId="0B924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阻旋式料位开关</w:t>
            </w:r>
          </w:p>
        </w:tc>
        <w:tc>
          <w:tcPr>
            <w:tcW w:w="885" w:type="pct"/>
            <w:tcBorders>
              <w:tl2br w:val="nil"/>
              <w:tr2bl w:val="nil"/>
            </w:tcBorders>
            <w:shd w:val="clear" w:color="auto" w:fill="auto"/>
            <w:vAlign w:val="center"/>
          </w:tcPr>
          <w:p w14:paraId="29BC4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Bindicator(平迪凯特)</w:t>
            </w:r>
          </w:p>
        </w:tc>
        <w:tc>
          <w:tcPr>
            <w:tcW w:w="2538" w:type="pct"/>
            <w:tcBorders>
              <w:tl2br w:val="nil"/>
              <w:tr2bl w:val="nil"/>
            </w:tcBorders>
            <w:shd w:val="clear" w:color="auto" w:fill="auto"/>
            <w:vAlign w:val="center"/>
          </w:tcPr>
          <w:p w14:paraId="642B6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型号：PRXZ3-Y3A0B4 24VDC， L=400mm，IP67，防爆型</w:t>
            </w:r>
          </w:p>
        </w:tc>
        <w:tc>
          <w:tcPr>
            <w:tcW w:w="298" w:type="pct"/>
            <w:tcBorders>
              <w:tl2br w:val="nil"/>
              <w:tr2bl w:val="nil"/>
            </w:tcBorders>
            <w:shd w:val="clear" w:color="auto" w:fill="auto"/>
            <w:vAlign w:val="center"/>
          </w:tcPr>
          <w:p w14:paraId="7102A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16" w:type="pct"/>
            <w:tcBorders>
              <w:tl2br w:val="nil"/>
              <w:tr2bl w:val="nil"/>
            </w:tcBorders>
            <w:shd w:val="clear" w:color="auto" w:fill="auto"/>
            <w:vAlign w:val="center"/>
          </w:tcPr>
          <w:p w14:paraId="3A1F9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bl>
    <w:p w14:paraId="3FEA0F6F">
      <w:pPr>
        <w:spacing w:line="360" w:lineRule="auto"/>
        <w:ind w:firstLine="482" w:firstLineChars="200"/>
        <w:rPr>
          <w:rFonts w:hint="eastAsia" w:ascii="宋体" w:hAnsi="Arial" w:cs="Arial" w:eastAsiaTheme="minorEastAsia"/>
          <w:b/>
          <w:bCs/>
          <w:snapToGrid w:val="0"/>
          <w:color w:val="auto"/>
          <w:kern w:val="2"/>
          <w:sz w:val="24"/>
          <w:szCs w:val="21"/>
          <w:highlight w:val="none"/>
          <w:lang w:val="en-US" w:eastAsia="zh-CN" w:bidi="ar-SA"/>
        </w:rPr>
      </w:pPr>
    </w:p>
    <w:p w14:paraId="5C073101">
      <w:pPr>
        <w:spacing w:line="360" w:lineRule="auto"/>
        <w:ind w:firstLine="482" w:firstLineChars="200"/>
        <w:rPr>
          <w:rFonts w:ascii="宋体" w:hAnsi="宋体" w:cs="宋体"/>
          <w:color w:val="auto"/>
          <w:sz w:val="24"/>
          <w:highlight w:val="none"/>
        </w:rPr>
      </w:pPr>
      <w:r>
        <w:rPr>
          <w:rFonts w:hint="eastAsia" w:ascii="宋体" w:hAnsi="Arial" w:cs="Arial" w:eastAsiaTheme="minorEastAsia"/>
          <w:b/>
          <w:bCs/>
          <w:snapToGrid w:val="0"/>
          <w:color w:val="auto"/>
          <w:kern w:val="2"/>
          <w:sz w:val="24"/>
          <w:szCs w:val="21"/>
          <w:highlight w:val="none"/>
          <w:lang w:val="en-US" w:eastAsia="zh-CN" w:bidi="ar-SA"/>
        </w:rPr>
        <w:t>二、合同期限：</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个月自动结束</w:t>
      </w:r>
      <w:r>
        <w:rPr>
          <w:rFonts w:hint="eastAsia" w:ascii="宋体" w:hAnsi="宋体" w:cs="宋体"/>
          <w:color w:val="auto"/>
          <w:sz w:val="24"/>
          <w:highlight w:val="none"/>
        </w:rPr>
        <w:t>；</w:t>
      </w:r>
    </w:p>
    <w:p w14:paraId="31B2271A">
      <w:pPr>
        <w:pStyle w:val="8"/>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按需供货，按实结算，本次采购数量仅为采购人暂定数量，以采购人下达的采购订单或者维修工单为准。</w:t>
      </w:r>
    </w:p>
    <w:p w14:paraId="581BDF14">
      <w:pPr>
        <w:pStyle w:val="8"/>
        <w:ind w:firstLine="482" w:firstLineChars="200"/>
        <w:rPr>
          <w:rFonts w:hint="eastAsia"/>
          <w:b/>
          <w:bCs/>
          <w:color w:val="auto"/>
          <w:highlight w:val="none"/>
          <w:lang w:val="en-US" w:eastAsia="zh-CN"/>
        </w:rPr>
      </w:pPr>
      <w:r>
        <w:rPr>
          <w:rFonts w:hint="eastAsia"/>
          <w:b/>
          <w:bCs/>
          <w:color w:val="auto"/>
          <w:highlight w:val="none"/>
          <w:lang w:val="en-US" w:eastAsia="zh-CN"/>
        </w:rPr>
        <w:t>四</w:t>
      </w:r>
      <w:r>
        <w:rPr>
          <w:rFonts w:hint="eastAsia"/>
          <w:b/>
          <w:bCs/>
          <w:color w:val="auto"/>
          <w:highlight w:val="none"/>
          <w:lang w:val="en-US"/>
        </w:rPr>
        <w:t>、</w:t>
      </w:r>
      <w:r>
        <w:rPr>
          <w:rFonts w:hint="eastAsia"/>
          <w:b/>
          <w:bCs/>
          <w:color w:val="auto"/>
          <w:highlight w:val="none"/>
          <w:lang w:val="en-US" w:eastAsia="zh-CN"/>
        </w:rPr>
        <w:t>质量和</w:t>
      </w:r>
      <w:r>
        <w:rPr>
          <w:rFonts w:hint="eastAsia"/>
          <w:b/>
          <w:bCs/>
          <w:color w:val="auto"/>
          <w:highlight w:val="none"/>
          <w:lang w:val="en-US"/>
        </w:rPr>
        <w:t>技术</w:t>
      </w:r>
      <w:r>
        <w:rPr>
          <w:rFonts w:hint="eastAsia"/>
          <w:b/>
          <w:bCs/>
          <w:color w:val="auto"/>
          <w:highlight w:val="none"/>
          <w:lang w:val="en-US" w:eastAsia="zh-CN"/>
        </w:rPr>
        <w:t>要求</w:t>
      </w:r>
    </w:p>
    <w:p w14:paraId="328D1138">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所供货物</w:t>
      </w:r>
      <w:r>
        <w:rPr>
          <w:rFonts w:hint="eastAsia" w:ascii="宋体" w:hAnsi="宋体" w:cs="宋体"/>
          <w:color w:val="auto"/>
          <w:sz w:val="24"/>
          <w:highlight w:val="none"/>
          <w:lang w:val="en-US" w:eastAsia="zh-CN"/>
        </w:rPr>
        <w:t>或者服务</w:t>
      </w:r>
      <w:r>
        <w:rPr>
          <w:rFonts w:hint="eastAsia" w:ascii="宋体" w:hAnsi="宋体" w:cs="宋体"/>
          <w:color w:val="auto"/>
          <w:sz w:val="24"/>
          <w:highlight w:val="none"/>
        </w:rPr>
        <w:t>应满足合同约定要求，</w:t>
      </w:r>
      <w:r>
        <w:rPr>
          <w:rFonts w:hint="eastAsia" w:ascii="宋体" w:hAnsi="宋体" w:cs="宋体"/>
          <w:color w:val="auto"/>
          <w:sz w:val="24"/>
          <w:highlight w:val="none"/>
          <w:lang w:val="en-US" w:eastAsia="zh-CN"/>
        </w:rPr>
        <w:t>具</w:t>
      </w:r>
      <w:r>
        <w:rPr>
          <w:rFonts w:hint="eastAsia" w:ascii="宋体" w:hAnsi="宋体" w:cs="宋体"/>
          <w:color w:val="auto"/>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包括但不限于以下标准：</w:t>
      </w:r>
    </w:p>
    <w:p w14:paraId="1E2039D5">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JB/T 8352-2013 《阻旋式料位器 技术条件》</w:t>
      </w:r>
    </w:p>
    <w:p w14:paraId="3BD5120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JB/T 10961-2024 《料位开关》</w:t>
      </w:r>
    </w:p>
    <w:p w14:paraId="58957137">
      <w:pPr>
        <w:pStyle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2.供应商所供必须为BINDICATOR（平迪凯特）的合格正品，不得为假冒伪劣的产品，若有防伪标识，支持防伪查询。</w:t>
      </w:r>
    </w:p>
    <w:p w14:paraId="59B3BEBC">
      <w:pPr>
        <w:pStyle w:val="8"/>
        <w:ind w:firstLine="480" w:firstLineChars="200"/>
        <w:rPr>
          <w:rFonts w:hint="eastAsia" w:ascii="宋体" w:hAnsi="宋体" w:cs="宋体"/>
          <w:color w:val="auto"/>
          <w:sz w:val="24"/>
          <w:highlight w:val="none"/>
          <w:u w:val="none"/>
          <w:lang w:val="en-US" w:eastAsia="zh-CN"/>
        </w:rPr>
      </w:pPr>
      <w:r>
        <w:rPr>
          <w:rFonts w:hint="eastAsia"/>
          <w:color w:val="auto"/>
          <w:highlight w:val="none"/>
          <w:lang w:val="en-US" w:eastAsia="zh-CN"/>
        </w:rPr>
        <w:t>3.采购人提供的资料为初步资料仅供参考，供应商必要时需前往采购人现场核对具体参数和要求。</w:t>
      </w:r>
      <w:r>
        <w:rPr>
          <w:rFonts w:hint="eastAsia" w:ascii="宋体"/>
          <w:color w:val="auto"/>
          <w:highlight w:val="none"/>
          <w:lang w:val="en-US" w:eastAsia="zh-CN"/>
        </w:rPr>
        <w:t>供应商</w:t>
      </w:r>
      <w:r>
        <w:rPr>
          <w:rFonts w:hint="eastAsia"/>
          <w:color w:val="auto"/>
          <w:highlight w:val="none"/>
          <w:lang w:val="en-US" w:eastAsia="zh-CN"/>
        </w:rPr>
        <w:t>提供货物须与采购人现场设备配套</w:t>
      </w:r>
      <w:r>
        <w:rPr>
          <w:rFonts w:hint="eastAsia" w:ascii="宋体"/>
          <w:color w:val="auto"/>
          <w:highlight w:val="none"/>
          <w:lang w:val="en-US" w:eastAsia="zh-CN"/>
        </w:rPr>
        <w:t>；若供应商提供</w:t>
      </w:r>
      <w:r>
        <w:rPr>
          <w:rFonts w:hint="eastAsia"/>
          <w:color w:val="auto"/>
          <w:highlight w:val="none"/>
          <w:lang w:val="en-US" w:eastAsia="zh-CN"/>
        </w:rPr>
        <w:t>货物与采购人</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，供应商</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14:paraId="5162EBF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u w:val="none"/>
          <w:lang w:val="en-US" w:eastAsia="zh-CN"/>
        </w:rPr>
        <w:t>4.</w:t>
      </w:r>
      <w:r>
        <w:rPr>
          <w:rFonts w:hint="eastAsia" w:ascii="宋体" w:hAnsi="宋体" w:cs="宋体"/>
          <w:color w:val="auto"/>
          <w:sz w:val="24"/>
          <w:highlight w:val="none"/>
          <w:lang w:val="en-US" w:eastAsia="zh-CN"/>
        </w:rPr>
        <w:t>本合同质保期限为自验收合格后</w:t>
      </w:r>
      <w:r>
        <w:rPr>
          <w:rFonts w:hint="eastAsia" w:ascii="宋体" w:hAnsi="宋体" w:cs="宋体"/>
          <w:color w:val="auto"/>
          <w:sz w:val="24"/>
          <w:highlight w:val="none"/>
          <w:u w:val="single"/>
          <w:lang w:val="en-US" w:eastAsia="zh-CN"/>
        </w:rPr>
        <w:t>12个月</w:t>
      </w:r>
      <w:r>
        <w:rPr>
          <w:rFonts w:hint="eastAsia" w:ascii="宋体" w:hAnsi="宋体" w:cs="宋体"/>
          <w:color w:val="auto"/>
          <w:sz w:val="24"/>
          <w:highlight w:val="none"/>
          <w:lang w:val="en-US" w:eastAsia="zh-CN"/>
        </w:rPr>
        <w:t>，若质保期限内出现问题（非质量问题除外），供应商必须在接到采购人通知后48小时内无条件赶到现场，免费维修或更换。在质保期限内未出现任何质量问题，视为质保合格。</w:t>
      </w:r>
    </w:p>
    <w:p w14:paraId="3B521ED5">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val="en-US" w:eastAsia="zh-CN"/>
        </w:rPr>
        <w:t>采用按以下第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14:paraId="5E350A91">
      <w:pPr>
        <w:pStyle w:val="27"/>
        <w:spacing w:before="0" w:beforeAutospacing="0" w:after="0" w:afterAutospacing="0" w:line="360" w:lineRule="auto"/>
        <w:ind w:firstLine="480" w:firstLineChars="200"/>
        <w:rPr>
          <w:rFonts w:hint="default" w:eastAsia="宋体" w:cs="宋体"/>
          <w:color w:val="auto"/>
          <w:highlight w:val="none"/>
          <w:lang w:val="en-US" w:eastAsia="zh-CN"/>
        </w:rPr>
      </w:pPr>
      <w:r>
        <w:rPr>
          <w:rFonts w:hint="eastAsia" w:eastAsia="宋体" w:cs="宋体"/>
          <w:color w:val="auto"/>
          <w:highlight w:val="none"/>
          <w:lang w:val="en-US" w:eastAsia="zh-CN"/>
        </w:rPr>
        <w:t>第（1）形式：合同履约保证金已包含质保金，采购人不再另外收取质保金。</w:t>
      </w:r>
    </w:p>
    <w:p w14:paraId="4E1DA84E">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5.采购人本合同项下合同成果的验收合格，仅为对货物数量、外观、型号及初步功能、服务要求的符合性确认，并非对货物或者服务内在质量、性能、长期稳定性及所有潜在瑕疵的最终认可，不能豁免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14:paraId="66F184E5">
      <w:pPr>
        <w:pStyle w:val="8"/>
        <w:ind w:firstLine="482" w:firstLineChars="200"/>
        <w:rPr>
          <w:b/>
          <w:bCs/>
          <w:color w:val="auto"/>
          <w:highlight w:val="none"/>
          <w:lang w:val="en-US"/>
        </w:rPr>
      </w:pPr>
      <w:r>
        <w:rPr>
          <w:rFonts w:hint="eastAsia"/>
          <w:b/>
          <w:bCs/>
          <w:color w:val="auto"/>
          <w:highlight w:val="none"/>
          <w:lang w:val="en-US" w:eastAsia="zh-CN"/>
        </w:rPr>
        <w:t>五</w:t>
      </w:r>
      <w:r>
        <w:rPr>
          <w:rFonts w:hint="eastAsia"/>
          <w:b/>
          <w:bCs/>
          <w:color w:val="auto"/>
          <w:highlight w:val="none"/>
          <w:lang w:val="en-US"/>
        </w:rPr>
        <w:t>、服务要求</w:t>
      </w:r>
    </w:p>
    <w:p w14:paraId="33C1082D">
      <w:pPr>
        <w:spacing w:line="360" w:lineRule="auto"/>
        <w:ind w:firstLine="480" w:firstLineChars="200"/>
        <w:outlineLvl w:val="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247BE5F8">
      <w:pPr>
        <w:spacing w:line="360" w:lineRule="auto"/>
        <w:ind w:firstLine="480" w:firstLineChars="200"/>
        <w:outlineLvl w:val="0"/>
        <w:rPr>
          <w:rFonts w:hint="eastAsia"/>
          <w:color w:val="auto"/>
          <w:highlight w:val="none"/>
          <w:u w:val="none"/>
          <w:lang w:val="en-US"/>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供应商和采购人双方需要遵守合同约定</w:t>
      </w:r>
      <w:r>
        <w:rPr>
          <w:rFonts w:hint="eastAsia" w:ascii="宋体" w:hAnsi="宋体" w:cs="宋体"/>
          <w:color w:val="auto"/>
          <w:sz w:val="24"/>
          <w:highlight w:val="none"/>
        </w:rPr>
        <w:t>要求</w:t>
      </w:r>
      <w:r>
        <w:rPr>
          <w:rFonts w:hint="eastAsia" w:ascii="宋体" w:hAnsi="宋体" w:cs="宋体"/>
          <w:color w:val="auto"/>
          <w:sz w:val="24"/>
          <w:highlight w:val="none"/>
          <w:lang w:eastAsia="zh-CN"/>
        </w:rPr>
        <w:t>，</w:t>
      </w:r>
      <w:r>
        <w:rPr>
          <w:rFonts w:hint="eastAsia" w:ascii="宋体" w:hAnsi="宋体" w:cs="宋体"/>
          <w:color w:val="auto"/>
          <w:sz w:val="24"/>
          <w:highlight w:val="none"/>
        </w:rPr>
        <w:t>按时、按质、按量完成</w:t>
      </w:r>
      <w:r>
        <w:rPr>
          <w:rFonts w:hint="eastAsia" w:ascii="宋体" w:hAnsi="宋体" w:cs="宋体"/>
          <w:color w:val="auto"/>
          <w:sz w:val="24"/>
          <w:highlight w:val="none"/>
          <w:lang w:val="en-US" w:eastAsia="zh-CN"/>
        </w:rPr>
        <w:t>合同要求</w:t>
      </w:r>
      <w:r>
        <w:rPr>
          <w:rFonts w:hint="eastAsia" w:ascii="宋体" w:hAnsi="宋体" w:cs="宋体"/>
          <w:color w:val="auto"/>
          <w:sz w:val="24"/>
          <w:highlight w:val="none"/>
        </w:rPr>
        <w:t>，履行合同义务。</w:t>
      </w:r>
    </w:p>
    <w:p w14:paraId="58F468C6">
      <w:pPr>
        <w:pStyle w:val="8"/>
        <w:ind w:firstLine="480" w:firstLineChars="200"/>
        <w:rPr>
          <w:color w:val="auto"/>
          <w:highlight w:val="none"/>
          <w:u w:val="single"/>
          <w:lang w:val="en-US"/>
        </w:rPr>
      </w:pPr>
      <w:r>
        <w:rPr>
          <w:rFonts w:hint="eastAsia"/>
          <w:color w:val="auto"/>
          <w:highlight w:val="none"/>
          <w:u w:val="none"/>
          <w:lang w:val="en-US" w:eastAsia="zh-CN"/>
        </w:rPr>
        <w:t>3</w:t>
      </w:r>
      <w:r>
        <w:rPr>
          <w:rFonts w:hint="eastAsia"/>
          <w:color w:val="auto"/>
          <w:highlight w:val="none"/>
          <w:u w:val="none"/>
          <w:lang w:val="en-US"/>
        </w:rPr>
        <w:t>.</w:t>
      </w:r>
      <w:r>
        <w:rPr>
          <w:rFonts w:hint="eastAsia"/>
          <w:color w:val="auto"/>
          <w:highlight w:val="none"/>
          <w:u w:val="none"/>
          <w:lang w:val="en-US" w:eastAsia="zh-CN"/>
        </w:rPr>
        <w:t>供货批次：</w:t>
      </w:r>
      <w:r>
        <w:rPr>
          <w:rFonts w:hint="eastAsia" w:ascii="宋体" w:hAnsi="宋体" w:cs="宋体"/>
          <w:color w:val="auto"/>
          <w:sz w:val="24"/>
          <w:highlight w:val="none"/>
          <w:u w:val="none"/>
        </w:rPr>
        <w:t>按采购订单要求执行</w:t>
      </w:r>
      <w:r>
        <w:rPr>
          <w:rFonts w:hint="eastAsia" w:ascii="宋体" w:hAnsi="宋体" w:cs="宋体"/>
          <w:color w:val="auto"/>
          <w:sz w:val="24"/>
          <w:highlight w:val="none"/>
          <w:u w:val="none"/>
          <w:lang w:eastAsia="zh-CN"/>
        </w:rPr>
        <w:t>，</w:t>
      </w:r>
      <w:r>
        <w:rPr>
          <w:rFonts w:hint="eastAsia"/>
          <w:color w:val="auto"/>
          <w:highlight w:val="none"/>
          <w:u w:val="none"/>
          <w:lang w:val="en-US" w:eastAsia="zh-CN"/>
        </w:rPr>
        <w:t>供应商在收到采购人的采购订单后</w:t>
      </w:r>
      <w:r>
        <w:rPr>
          <w:rFonts w:hint="eastAsia"/>
          <w:color w:val="4874CB" w:themeColor="accent1"/>
          <w:highlight w:val="none"/>
          <w:u w:val="none"/>
          <w:lang w:val="en-US" w:eastAsia="zh-CN"/>
          <w14:textFill>
            <w14:solidFill>
              <w14:schemeClr w14:val="accent1"/>
            </w14:solidFill>
          </w14:textFill>
        </w:rPr>
        <w:t>30天</w:t>
      </w:r>
      <w:r>
        <w:rPr>
          <w:rFonts w:hint="eastAsia"/>
          <w:color w:val="auto"/>
          <w:highlight w:val="none"/>
          <w:u w:val="none"/>
          <w:lang w:val="en-US" w:eastAsia="zh-CN"/>
        </w:rPr>
        <w:t>内完成供货。</w:t>
      </w:r>
    </w:p>
    <w:p w14:paraId="77B7F478">
      <w:pPr>
        <w:pStyle w:val="8"/>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9DA3DC9">
      <w:pPr>
        <w:pStyle w:val="8"/>
        <w:ind w:firstLine="480" w:firstLineChars="200"/>
        <w:rPr>
          <w:rFonts w:hint="eastAsia" w:ascii="宋体"/>
          <w:color w:val="auto"/>
          <w:highlight w:val="none"/>
          <w:lang w:val="en-US"/>
        </w:rPr>
      </w:pPr>
      <w:r>
        <w:rPr>
          <w:rFonts w:hint="eastAsia"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不再对任何售后服务进行付费，</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派遣人员产生的一切费用由</w:t>
      </w:r>
      <w:r>
        <w:rPr>
          <w:rFonts w:hint="eastAsia" w:ascii="宋体" w:hAnsi="宋体" w:cs="宋体"/>
          <w:color w:val="auto"/>
          <w:sz w:val="24"/>
          <w:highlight w:val="none"/>
          <w:lang w:val="en-US" w:eastAsia="zh-CN"/>
        </w:rPr>
        <w:t>供应</w:t>
      </w:r>
      <w:r>
        <w:rPr>
          <w:rFonts w:hint="eastAsia" w:ascii="宋体"/>
          <w:color w:val="auto"/>
          <w:highlight w:val="none"/>
          <w:lang w:val="en-US" w:eastAsia="zh-CN"/>
        </w:rPr>
        <w:t>商</w:t>
      </w:r>
      <w:r>
        <w:rPr>
          <w:rFonts w:hint="eastAsia" w:ascii="宋体"/>
          <w:color w:val="auto"/>
          <w:highlight w:val="none"/>
          <w:lang w:val="en-US"/>
        </w:rPr>
        <w:t>承担。</w:t>
      </w:r>
    </w:p>
    <w:p w14:paraId="5A890586">
      <w:pPr>
        <w:pStyle w:val="8"/>
        <w:ind w:firstLine="482" w:firstLineChars="200"/>
        <w:rPr>
          <w:rFonts w:hint="eastAsia" w:ascii="宋体" w:eastAsiaTheme="minorEastAsia"/>
          <w:b/>
          <w:bCs/>
          <w:color w:val="auto"/>
          <w:highlight w:val="none"/>
          <w:lang w:val="en-US" w:eastAsia="zh-CN"/>
        </w:rPr>
      </w:pPr>
      <w:r>
        <w:rPr>
          <w:rFonts w:hint="eastAsia" w:ascii="宋体"/>
          <w:b/>
          <w:bCs/>
          <w:color w:val="auto"/>
          <w:highlight w:val="none"/>
          <w:lang w:val="en-US" w:eastAsia="zh-CN"/>
        </w:rPr>
        <w:t>六</w:t>
      </w:r>
      <w:r>
        <w:rPr>
          <w:rFonts w:hint="eastAsia" w:ascii="宋体"/>
          <w:b/>
          <w:bCs/>
          <w:color w:val="auto"/>
          <w:highlight w:val="none"/>
          <w:lang w:val="en-US"/>
        </w:rPr>
        <w:t>、</w:t>
      </w:r>
      <w:r>
        <w:rPr>
          <w:rFonts w:hint="eastAsia" w:ascii="宋体"/>
          <w:b/>
          <w:bCs/>
          <w:color w:val="auto"/>
          <w:highlight w:val="none"/>
          <w:lang w:val="en-US" w:eastAsia="zh-CN"/>
        </w:rPr>
        <w:t>货物</w:t>
      </w:r>
      <w:r>
        <w:rPr>
          <w:rFonts w:hint="eastAsia" w:ascii="宋体"/>
          <w:b/>
          <w:bCs/>
          <w:color w:val="auto"/>
          <w:highlight w:val="none"/>
          <w:lang w:val="en-US"/>
        </w:rPr>
        <w:t>装运包装及交付要求</w:t>
      </w:r>
    </w:p>
    <w:p w14:paraId="4B1858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交付的全部货物均应采用本行业通用的方式进行包装，没有通用方式的，应当采取足以保护货物的包装方式，且该包装应符合国家有关包装的法律法规的规定。</w:t>
      </w:r>
    </w:p>
    <w:p w14:paraId="27895C1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14:paraId="0AA1CC9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货物</w:t>
      </w:r>
      <w:r>
        <w:rPr>
          <w:rFonts w:hint="eastAsia" w:ascii="宋体" w:hAnsi="宋体" w:eastAsia="宋体" w:cs="宋体"/>
          <w:color w:val="auto"/>
          <w:sz w:val="24"/>
          <w:highlight w:val="none"/>
          <w:lang w:val="en-US" w:eastAsia="zh-CN"/>
        </w:rPr>
        <w:t>在运输过程中发生的</w:t>
      </w:r>
      <w:r>
        <w:rPr>
          <w:rFonts w:hint="eastAsia" w:ascii="宋体" w:hAnsi="宋体" w:eastAsia="宋体" w:cs="宋体"/>
          <w:color w:val="auto"/>
          <w:sz w:val="24"/>
          <w:highlight w:val="none"/>
        </w:rPr>
        <w:t>锈蚀、损坏和损失、丢失等一切风险均由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承担。</w:t>
      </w:r>
    </w:p>
    <w:p w14:paraId="1B0F71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交付货物的要求如下：</w:t>
      </w:r>
    </w:p>
    <w:p w14:paraId="005D1B5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送货每批物资必须附</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采购订单、送货单、产品质量检验合格证明或者检测报告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进口报关单（若有）、原产地证明（若有）</w:t>
      </w:r>
      <w:r>
        <w:rPr>
          <w:rFonts w:hint="eastAsia" w:ascii="宋体" w:hAnsi="宋体" w:eastAsia="宋体" w:cs="宋体"/>
          <w:color w:val="auto"/>
          <w:sz w:val="24"/>
          <w:highlight w:val="none"/>
        </w:rPr>
        <w:t>，否则</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7E7035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lang w:val="en-US" w:eastAsia="zh-CN"/>
        </w:rPr>
        <w:t>并加盖公章或者销售章</w:t>
      </w:r>
      <w:r>
        <w:rPr>
          <w:rFonts w:hint="eastAsia" w:ascii="宋体" w:hAnsi="宋体" w:eastAsia="宋体" w:cs="宋体"/>
          <w:b/>
          <w:bCs/>
          <w:color w:val="auto"/>
          <w:sz w:val="24"/>
          <w:highlight w:val="none"/>
          <w:u w:val="single"/>
        </w:rPr>
        <w:t>；</w:t>
      </w:r>
    </w:p>
    <w:p w14:paraId="14E7503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589D33EA">
      <w:pPr>
        <w:spacing w:line="360" w:lineRule="auto"/>
        <w:ind w:firstLine="480" w:firstLineChars="200"/>
        <w:outlineLvl w:val="9"/>
        <w:rPr>
          <w:rFonts w:hint="default" w:ascii="宋体" w:hAnsi="宋体" w:eastAsia="宋体" w:cs="宋体"/>
          <w:b w:val="0"/>
          <w:color w:val="auto"/>
          <w:sz w:val="24"/>
          <w:highlight w:val="none"/>
          <w:lang w:val="en-US" w:eastAsia="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供应商提供的</w:t>
      </w:r>
      <w:r>
        <w:rPr>
          <w:rFonts w:hint="eastAsia" w:ascii="宋体" w:hAnsi="宋体" w:eastAsia="宋体" w:cs="宋体"/>
          <w:b w:val="0"/>
          <w:color w:val="auto"/>
          <w:sz w:val="24"/>
          <w:highlight w:val="none"/>
        </w:rPr>
        <w:t>产品或者其包装上的标识必须真实，</w:t>
      </w:r>
      <w:r>
        <w:rPr>
          <w:rFonts w:hint="eastAsia" w:ascii="宋体" w:hAnsi="宋体" w:eastAsia="宋体" w:cs="宋体"/>
          <w:b w:val="0"/>
          <w:color w:val="auto"/>
          <w:sz w:val="24"/>
          <w:highlight w:val="none"/>
          <w:lang w:val="en-US" w:eastAsia="zh-CN"/>
        </w:rPr>
        <w:t>满足以下要求：</w:t>
      </w:r>
    </w:p>
    <w:p w14:paraId="23EB07ED">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①</w:t>
      </w:r>
      <w:r>
        <w:rPr>
          <w:rFonts w:hint="eastAsia" w:ascii="宋体" w:hAnsi="宋体" w:eastAsia="宋体" w:cs="宋体"/>
          <w:b/>
          <w:bCs/>
          <w:color w:val="auto"/>
          <w:sz w:val="24"/>
          <w:highlight w:val="none"/>
          <w:u w:val="single"/>
        </w:rPr>
        <w:t>有中文标明的产品名称、生产厂厂名和厂址；</w:t>
      </w:r>
    </w:p>
    <w:p w14:paraId="4BA6F674">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②</w:t>
      </w:r>
      <w:r>
        <w:rPr>
          <w:rFonts w:hint="eastAsia" w:ascii="宋体" w:hAnsi="宋体" w:eastAsia="宋体" w:cs="宋体"/>
          <w:b/>
          <w:bCs/>
          <w:color w:val="auto"/>
          <w:sz w:val="24"/>
          <w:highlight w:val="none"/>
          <w:u w:val="single"/>
        </w:rPr>
        <w:t>根据产品的特点和使用要求，需要标明产品规格、等级、所含主要成份的名称和含量的，用中文相应予以标明</w:t>
      </w:r>
      <w:r>
        <w:rPr>
          <w:rFonts w:hint="eastAsia" w:ascii="宋体" w:hAnsi="宋体" w:eastAsia="宋体" w:cs="宋体"/>
          <w:b/>
          <w:bCs/>
          <w:color w:val="auto"/>
          <w:sz w:val="24"/>
          <w:highlight w:val="none"/>
          <w:u w:val="single"/>
          <w:lang w:eastAsia="zh-CN"/>
        </w:rPr>
        <w:t>。</w:t>
      </w:r>
    </w:p>
    <w:p w14:paraId="0564AF4C">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若有破损或被挤压变形</w:t>
      </w:r>
      <w:r>
        <w:rPr>
          <w:rFonts w:hint="eastAsia" w:ascii="宋体" w:hAnsi="宋体" w:eastAsia="宋体" w:cs="宋体"/>
          <w:color w:val="auto"/>
          <w:sz w:val="24"/>
          <w:highlight w:val="none"/>
          <w:lang w:val="en-US" w:eastAsia="zh-CN"/>
        </w:rPr>
        <w:t>影响使用的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474EFD1F">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b w:val="0"/>
          <w:color w:val="auto"/>
          <w:sz w:val="24"/>
          <w:highlight w:val="none"/>
          <w:lang w:val="en-US" w:eastAsia="zh-CN"/>
        </w:rPr>
        <w:t>5.以下情形</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同意的前提下，可采用质量承诺的方式：</w:t>
      </w:r>
    </w:p>
    <w:p w14:paraId="11552168">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4077185C">
      <w:pPr>
        <w:spacing w:line="360" w:lineRule="auto"/>
        <w:ind w:firstLine="480" w:firstLineChars="200"/>
        <w:outlineLvl w:val="9"/>
        <w:rPr>
          <w:rFonts w:hint="default" w:ascii="宋体" w:hAnsi="宋体" w:cs="宋体"/>
          <w:b/>
          <w:color w:val="auto"/>
          <w:sz w:val="24"/>
          <w:highlight w:val="none"/>
          <w:lang w:val="en-US" w:eastAsia="zh-CN"/>
        </w:rPr>
      </w:pPr>
      <w:r>
        <w:rPr>
          <w:rFonts w:hint="eastAsia" w:ascii="宋体" w:hAnsi="宋体" w:eastAsia="宋体" w:cs="宋体"/>
          <w:color w:val="auto"/>
          <w:sz w:val="24"/>
          <w:highlight w:val="none"/>
        </w:rPr>
        <w:t>（2）非关键部位的货物，品牌制造商或者集成商采用外购形式的。</w:t>
      </w:r>
    </w:p>
    <w:p w14:paraId="77091E9C">
      <w:pPr>
        <w:pStyle w:val="9"/>
        <w:ind w:firstLine="480" w:firstLineChars="200"/>
        <w:outlineLvl w:val="0"/>
        <w:rPr>
          <w:rFonts w:hint="eastAsia" w:ascii="宋体" w:hAnsi="宋体" w:cs="宋体"/>
          <w:b/>
          <w:color w:val="auto"/>
          <w:sz w:val="24"/>
          <w:highlight w:val="none"/>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14:paraId="0DD3746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、检验和验收</w:t>
      </w:r>
    </w:p>
    <w:p w14:paraId="0F8D7420">
      <w:pPr>
        <w:tabs>
          <w:tab w:val="left" w:pos="360"/>
          <w:tab w:val="left" w:pos="540"/>
          <w:tab w:val="left" w:pos="1080"/>
        </w:tabs>
        <w:spacing w:line="360" w:lineRule="auto"/>
        <w:ind w:firstLine="480" w:firstLineChars="200"/>
        <w:rPr>
          <w:rFonts w:hint="eastAsia" w:ascii="宋体" w:hAnsi="宋体" w:cs="宋体"/>
          <w:strike/>
          <w:dstrike w:val="0"/>
          <w:color w:val="FF0000"/>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供应商</w:t>
      </w:r>
      <w:r>
        <w:rPr>
          <w:rFonts w:hint="eastAsia" w:ascii="宋体" w:hAnsi="宋体"/>
          <w:color w:val="auto"/>
          <w:sz w:val="24"/>
          <w:highlight w:val="none"/>
        </w:rPr>
        <w:t>按照合同的约定，完成合同约定的工作内容，</w:t>
      </w:r>
      <w:r>
        <w:rPr>
          <w:rFonts w:hint="eastAsia" w:ascii="宋体" w:hAnsi="宋体"/>
          <w:color w:val="auto"/>
          <w:sz w:val="24"/>
          <w:highlight w:val="none"/>
          <w:lang w:eastAsia="zh-CN"/>
        </w:rPr>
        <w:t>采购人</w:t>
      </w:r>
      <w:r>
        <w:rPr>
          <w:rFonts w:hint="eastAsia" w:ascii="宋体" w:hAnsi="宋体"/>
          <w:color w:val="auto"/>
          <w:sz w:val="24"/>
          <w:highlight w:val="none"/>
        </w:rPr>
        <w:t>按照合同的约定要求进行验收。</w:t>
      </w:r>
    </w:p>
    <w:p w14:paraId="5D5C0606">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2.供应商的合同成果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lang w:val="en-US" w:eastAsia="zh-CN"/>
        </w:rPr>
        <w:t>采购人有权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6F5AB03B">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highlight w:val="none"/>
          <w:lang w:val="en-US" w:eastAsia="zh-CN"/>
        </w:rPr>
        <w:t>3.数量验收：按合同清单中的计量单位验收。</w:t>
      </w:r>
    </w:p>
    <w:p w14:paraId="71535EBA">
      <w:pPr>
        <w:tabs>
          <w:tab w:val="left" w:pos="360"/>
          <w:tab w:val="left" w:pos="540"/>
          <w:tab w:val="left" w:pos="1080"/>
        </w:tabs>
        <w:spacing w:line="360" w:lineRule="auto"/>
        <w:ind w:firstLine="480" w:firstLineChars="20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4.经首次验收不满足合同要求的，供应商需要及时整改至满足合同要求为止时</w:t>
      </w:r>
      <w:r>
        <w:rPr>
          <w:rFonts w:hint="eastAsia" w:ascii="宋体" w:hAnsi="宋体" w:cs="宋体"/>
          <w:color w:val="auto"/>
          <w:sz w:val="24"/>
          <w:highlight w:val="none"/>
          <w:lang w:val="en-US" w:eastAsia="zh-CN"/>
        </w:rPr>
        <w:t>视为验收合格。</w:t>
      </w:r>
    </w:p>
    <w:p w14:paraId="56A00F95">
      <w:pPr>
        <w:tabs>
          <w:tab w:val="left" w:pos="360"/>
          <w:tab w:val="left" w:pos="540"/>
          <w:tab w:val="left" w:pos="1080"/>
        </w:tabs>
        <w:spacing w:line="360" w:lineRule="auto"/>
        <w:ind w:firstLine="480" w:firstLineChars="200"/>
        <w:rPr>
          <w:rFonts w:hint="eastAsia" w:hAnsi="宋体" w:eastAsia="宋体"/>
          <w:b/>
          <w:strike/>
          <w:dstrike w:val="0"/>
          <w:color w:val="auto"/>
          <w:highlight w:val="none"/>
          <w:lang w:val="en-US" w:eastAsia="zh-CN"/>
        </w:rPr>
      </w:pPr>
      <w:r>
        <w:rPr>
          <w:rFonts w:hint="eastAsia" w:ascii="宋体" w:hAnsi="宋体" w:eastAsia="宋体" w:cs="宋体"/>
          <w:color w:val="auto"/>
          <w:sz w:val="24"/>
          <w:highlight w:val="none"/>
          <w:lang w:val="en-US" w:eastAsia="zh-CN"/>
        </w:rPr>
        <w:t>5.</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所供货物的品牌、型号等应与合同约定要求一致，若因停产、缺货等因素</w:t>
      </w:r>
      <w:r>
        <w:rPr>
          <w:rFonts w:hint="eastAsia" w:ascii="宋体" w:hAnsi="宋体" w:cs="宋体"/>
          <w:color w:val="auto"/>
          <w:sz w:val="24"/>
          <w:highlight w:val="none"/>
          <w:lang w:val="en-US" w:eastAsia="zh-CN"/>
        </w:rPr>
        <w:t>导致无法按照合同约定的货物品牌、型号等要求进行供货的</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w:t>
      </w:r>
      <w:r>
        <w:rPr>
          <w:rFonts w:hint="eastAsia" w:ascii="宋体" w:hAnsi="宋体" w:cs="宋体"/>
          <w:color w:val="auto"/>
          <w:sz w:val="24"/>
          <w:highlight w:val="none"/>
          <w:lang w:val="en-US" w:eastAsia="zh-CN"/>
        </w:rPr>
        <w:t>提前取得采购人同意，并</w:t>
      </w:r>
      <w:r>
        <w:rPr>
          <w:rFonts w:hint="eastAsia" w:ascii="宋体" w:hAnsi="宋体" w:cs="宋体"/>
          <w:color w:val="auto"/>
          <w:sz w:val="24"/>
          <w:highlight w:val="none"/>
        </w:rPr>
        <w:t>出具书面情况说明</w:t>
      </w:r>
      <w:r>
        <w:rPr>
          <w:rFonts w:hint="eastAsia" w:ascii="宋体" w:hAnsi="宋体" w:cs="宋体"/>
          <w:color w:val="auto"/>
          <w:sz w:val="24"/>
          <w:highlight w:val="none"/>
          <w:lang w:eastAsia="zh-CN"/>
        </w:rPr>
        <w:t>、</w:t>
      </w:r>
      <w:r>
        <w:rPr>
          <w:rFonts w:hint="eastAsia" w:ascii="宋体" w:hAnsi="宋体" w:cs="宋体"/>
          <w:color w:val="auto"/>
          <w:sz w:val="24"/>
          <w:highlight w:val="none"/>
        </w:rPr>
        <w:t>承诺替换的货物质量不低于合同约定要求，品牌为合同约定的同档次产品。</w:t>
      </w:r>
    </w:p>
    <w:p w14:paraId="07957464">
      <w:pPr>
        <w:spacing w:line="360" w:lineRule="auto"/>
        <w:ind w:firstLine="42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八</w:t>
      </w:r>
      <w:r>
        <w:rPr>
          <w:rFonts w:hint="eastAsia"/>
          <w:b/>
          <w:bCs/>
          <w:color w:val="auto"/>
          <w:highlight w:val="none"/>
          <w:lang w:val="en-US"/>
        </w:rPr>
        <w:t>、结算方式</w:t>
      </w:r>
    </w:p>
    <w:p w14:paraId="463F8EB1">
      <w:pPr>
        <w:pStyle w:val="9"/>
        <w:ind w:firstLine="480" w:firstLineChars="200"/>
        <w:rPr>
          <w:color w:val="auto"/>
          <w:highlight w:val="none"/>
          <w:lang w:val="en-US"/>
        </w:rPr>
      </w:pPr>
      <w:r>
        <w:rPr>
          <w:rFonts w:hint="eastAsia"/>
          <w:color w:val="auto"/>
          <w:highlight w:val="none"/>
          <w:lang w:val="en-US"/>
        </w:rPr>
        <w:t>以本询价采购文件中的合同条款为准。</w:t>
      </w:r>
    </w:p>
    <w:p w14:paraId="36D1F3C4">
      <w:pPr>
        <w:pStyle w:val="8"/>
        <w:numPr>
          <w:ilvl w:val="0"/>
          <w:numId w:val="0"/>
        </w:numPr>
        <w:ind w:firstLine="482" w:firstLineChars="200"/>
        <w:rPr>
          <w:rFonts w:hint="eastAsia"/>
          <w:b/>
          <w:bCs/>
          <w:color w:val="auto"/>
          <w:highlight w:val="none"/>
          <w:lang w:val="en-US" w:eastAsia="zh-CN"/>
        </w:rPr>
      </w:pPr>
    </w:p>
    <w:p w14:paraId="74F56F8B">
      <w:pPr>
        <w:pStyle w:val="8"/>
        <w:numPr>
          <w:ilvl w:val="0"/>
          <w:numId w:val="0"/>
        </w:numPr>
        <w:ind w:firstLine="482" w:firstLineChars="200"/>
        <w:rPr>
          <w:rFonts w:hint="eastAsia"/>
          <w:b/>
          <w:bCs/>
          <w:color w:val="auto"/>
          <w:highlight w:val="none"/>
          <w:lang w:val="en-US" w:eastAsia="zh-CN"/>
        </w:rPr>
      </w:pPr>
    </w:p>
    <w:p w14:paraId="6E1C4F15">
      <w:pPr>
        <w:pStyle w:val="8"/>
        <w:numPr>
          <w:ilvl w:val="0"/>
          <w:numId w:val="0"/>
        </w:numPr>
        <w:ind w:firstLine="482" w:firstLineChars="200"/>
        <w:rPr>
          <w:color w:val="auto"/>
          <w:highlight w:val="none"/>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15B601C8">
      <w:pPr>
        <w:rPr>
          <w:color w:val="auto"/>
          <w:highlight w:val="none"/>
        </w:rPr>
      </w:pPr>
      <w:r>
        <w:rPr>
          <w:rFonts w:hint="eastAsia" w:cs="仿宋" w:asciiTheme="minorEastAsia" w:hAnsiTheme="minorEastAsia"/>
          <w:b/>
          <w:color w:val="auto"/>
          <w:sz w:val="36"/>
          <w:szCs w:val="36"/>
          <w:highlight w:val="none"/>
        </w:rPr>
        <w:br w:type="page"/>
      </w:r>
    </w:p>
    <w:p w14:paraId="0B175BE6">
      <w:pPr>
        <w:rPr>
          <w:color w:val="auto"/>
          <w:highlight w:val="none"/>
        </w:rPr>
      </w:pPr>
    </w:p>
    <w:p w14:paraId="2530A8F9">
      <w:pPr>
        <w:rPr>
          <w:color w:val="auto"/>
          <w:highlight w:val="none"/>
        </w:rPr>
      </w:pPr>
    </w:p>
    <w:p w14:paraId="62FC4149">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 w:name="_Toc184313264"/>
      <w:bookmarkEnd w:id="2"/>
      <w:bookmarkStart w:id="3" w:name="_Toc184310290"/>
      <w:bookmarkEnd w:id="3"/>
      <w:bookmarkStart w:id="4" w:name="_Toc184313301"/>
      <w:bookmarkEnd w:id="4"/>
      <w:bookmarkStart w:id="5" w:name="_Toc184310330"/>
      <w:bookmarkEnd w:id="5"/>
      <w:bookmarkStart w:id="6" w:name="_Toc184308087"/>
      <w:bookmarkEnd w:id="6"/>
      <w:bookmarkStart w:id="7" w:name="_Toc184314431"/>
      <w:bookmarkEnd w:id="7"/>
      <w:bookmarkStart w:id="8" w:name="_Toc184312090"/>
      <w:bookmarkEnd w:id="8"/>
      <w:bookmarkStart w:id="9" w:name="_Toc184313299"/>
      <w:bookmarkEnd w:id="9"/>
      <w:bookmarkStart w:id="10" w:name="_Toc184314455"/>
      <w:bookmarkEnd w:id="10"/>
      <w:bookmarkStart w:id="11" w:name="_Toc184312129"/>
      <w:bookmarkEnd w:id="11"/>
      <w:bookmarkStart w:id="12" w:name="_Toc184313258"/>
      <w:bookmarkEnd w:id="12"/>
      <w:bookmarkStart w:id="13" w:name="_Toc184308045"/>
      <w:bookmarkEnd w:id="13"/>
      <w:bookmarkStart w:id="14" w:name="_Toc184314450"/>
      <w:bookmarkEnd w:id="14"/>
      <w:bookmarkStart w:id="15" w:name="_Toc184310282"/>
      <w:bookmarkEnd w:id="15"/>
      <w:bookmarkStart w:id="16" w:name="_Toc184310325"/>
      <w:bookmarkEnd w:id="16"/>
      <w:bookmarkStart w:id="17" w:name="_Toc184310305"/>
      <w:bookmarkEnd w:id="17"/>
      <w:bookmarkStart w:id="18" w:name="_Toc184312127"/>
      <w:bookmarkEnd w:id="18"/>
      <w:bookmarkStart w:id="19" w:name="_Toc184314448"/>
      <w:bookmarkEnd w:id="19"/>
      <w:bookmarkStart w:id="20" w:name="_Toc184310341"/>
      <w:bookmarkEnd w:id="20"/>
      <w:bookmarkStart w:id="21" w:name="_Toc184313252"/>
      <w:bookmarkEnd w:id="21"/>
      <w:bookmarkStart w:id="22" w:name="_Toc184310342"/>
      <w:bookmarkEnd w:id="22"/>
      <w:bookmarkStart w:id="23" w:name="_Toc184313306"/>
      <w:bookmarkEnd w:id="23"/>
      <w:bookmarkStart w:id="24" w:name="_Toc184314462"/>
      <w:bookmarkEnd w:id="24"/>
      <w:bookmarkStart w:id="25" w:name="_Toc184308104"/>
      <w:bookmarkEnd w:id="25"/>
      <w:bookmarkStart w:id="26" w:name="_Toc184314442"/>
      <w:bookmarkEnd w:id="26"/>
      <w:bookmarkStart w:id="27" w:name="_Toc184314420"/>
      <w:bookmarkEnd w:id="27"/>
      <w:bookmarkStart w:id="28" w:name="_Toc184313255"/>
      <w:bookmarkEnd w:id="28"/>
      <w:bookmarkStart w:id="29" w:name="_Toc184312081"/>
      <w:bookmarkEnd w:id="29"/>
      <w:bookmarkStart w:id="30" w:name="_Toc184313277"/>
      <w:bookmarkEnd w:id="30"/>
      <w:bookmarkStart w:id="31" w:name="_Toc184314419"/>
      <w:bookmarkEnd w:id="31"/>
      <w:bookmarkStart w:id="32" w:name="_Toc184308058"/>
      <w:bookmarkEnd w:id="32"/>
      <w:bookmarkStart w:id="33" w:name="_Toc184314418"/>
      <w:bookmarkEnd w:id="33"/>
      <w:bookmarkStart w:id="34" w:name="_Toc184310304"/>
      <w:bookmarkEnd w:id="34"/>
      <w:bookmarkStart w:id="35" w:name="_Toc184314466"/>
      <w:bookmarkEnd w:id="35"/>
      <w:bookmarkStart w:id="36" w:name="_Toc184314434"/>
      <w:bookmarkEnd w:id="36"/>
      <w:bookmarkStart w:id="37" w:name="_Toc184314432"/>
      <w:bookmarkEnd w:id="37"/>
      <w:bookmarkStart w:id="38" w:name="_Toc184314429"/>
      <w:bookmarkEnd w:id="38"/>
      <w:bookmarkStart w:id="39" w:name="_Toc184313246"/>
      <w:bookmarkEnd w:id="39"/>
      <w:bookmarkStart w:id="40" w:name="_Toc184312114"/>
      <w:bookmarkEnd w:id="40"/>
      <w:bookmarkStart w:id="41" w:name="_Toc184308092"/>
      <w:bookmarkEnd w:id="41"/>
      <w:bookmarkStart w:id="42" w:name="_Toc184313238"/>
      <w:bookmarkEnd w:id="42"/>
      <w:bookmarkStart w:id="43" w:name="_Toc184310322"/>
      <w:bookmarkEnd w:id="43"/>
      <w:bookmarkStart w:id="44" w:name="_Toc184308086"/>
      <w:bookmarkEnd w:id="44"/>
      <w:bookmarkStart w:id="45" w:name="_Toc184312130"/>
      <w:bookmarkEnd w:id="45"/>
      <w:bookmarkStart w:id="46" w:name="_Toc184313271"/>
      <w:bookmarkEnd w:id="46"/>
      <w:bookmarkStart w:id="47" w:name="_Toc184314472"/>
      <w:bookmarkEnd w:id="47"/>
      <w:bookmarkStart w:id="48" w:name="_Toc184314441"/>
      <w:bookmarkEnd w:id="48"/>
      <w:bookmarkStart w:id="49" w:name="_Toc184310313"/>
      <w:bookmarkEnd w:id="49"/>
      <w:bookmarkStart w:id="50" w:name="_Toc184313242"/>
      <w:bookmarkEnd w:id="50"/>
      <w:bookmarkStart w:id="51" w:name="_Toc184312073"/>
      <w:bookmarkEnd w:id="51"/>
      <w:bookmarkStart w:id="52" w:name="_Toc184310295"/>
      <w:bookmarkEnd w:id="52"/>
      <w:bookmarkStart w:id="53" w:name="_Toc184313265"/>
      <w:bookmarkEnd w:id="53"/>
      <w:bookmarkStart w:id="54" w:name="_Toc184308049"/>
      <w:bookmarkEnd w:id="54"/>
      <w:bookmarkStart w:id="55" w:name="_Toc184314470"/>
      <w:bookmarkEnd w:id="55"/>
      <w:bookmarkStart w:id="56" w:name="_Toc184308100"/>
      <w:bookmarkEnd w:id="56"/>
      <w:bookmarkStart w:id="57" w:name="_Toc184313286"/>
      <w:bookmarkEnd w:id="57"/>
      <w:bookmarkStart w:id="58" w:name="_Toc184310308"/>
      <w:bookmarkEnd w:id="58"/>
      <w:bookmarkStart w:id="59" w:name="_Toc184308041"/>
      <w:bookmarkEnd w:id="59"/>
      <w:bookmarkStart w:id="60" w:name="_Toc184310278"/>
      <w:bookmarkEnd w:id="60"/>
      <w:bookmarkStart w:id="61" w:name="_Toc184312095"/>
      <w:bookmarkEnd w:id="61"/>
      <w:bookmarkStart w:id="62" w:name="_Toc184312085"/>
      <w:bookmarkEnd w:id="62"/>
      <w:bookmarkStart w:id="63" w:name="_Toc184312108"/>
      <w:bookmarkEnd w:id="63"/>
      <w:bookmarkStart w:id="64" w:name="_Toc184308048"/>
      <w:bookmarkEnd w:id="64"/>
      <w:bookmarkStart w:id="65" w:name="_Toc184312111"/>
      <w:bookmarkEnd w:id="65"/>
      <w:bookmarkStart w:id="66" w:name="_Toc184308072"/>
      <w:bookmarkEnd w:id="66"/>
      <w:bookmarkStart w:id="67" w:name="_Toc184312132"/>
      <w:bookmarkEnd w:id="67"/>
      <w:bookmarkStart w:id="68" w:name="_Toc184312078"/>
      <w:bookmarkEnd w:id="68"/>
      <w:bookmarkStart w:id="69" w:name="_Toc184310284"/>
      <w:bookmarkEnd w:id="69"/>
      <w:bookmarkStart w:id="70" w:name="_Toc184310286"/>
      <w:bookmarkEnd w:id="70"/>
      <w:bookmarkStart w:id="71" w:name="_Toc184312068"/>
      <w:bookmarkEnd w:id="71"/>
      <w:bookmarkStart w:id="72" w:name="_Toc184314479"/>
      <w:bookmarkEnd w:id="72"/>
      <w:bookmarkStart w:id="73" w:name="_Toc184313298"/>
      <w:bookmarkEnd w:id="73"/>
      <w:bookmarkStart w:id="74" w:name="_Toc184310318"/>
      <w:bookmarkEnd w:id="74"/>
      <w:bookmarkStart w:id="75" w:name="_Toc184310334"/>
      <w:bookmarkEnd w:id="75"/>
      <w:bookmarkStart w:id="76" w:name="_Toc184310285"/>
      <w:bookmarkEnd w:id="76"/>
      <w:bookmarkStart w:id="77" w:name="_Toc184308055"/>
      <w:bookmarkEnd w:id="77"/>
      <w:bookmarkStart w:id="78" w:name="_Toc184313239"/>
      <w:bookmarkEnd w:id="78"/>
      <w:bookmarkStart w:id="79" w:name="_Toc184314449"/>
      <w:bookmarkEnd w:id="79"/>
      <w:bookmarkStart w:id="80" w:name="_Toc184308089"/>
      <w:bookmarkEnd w:id="80"/>
      <w:bookmarkStart w:id="81" w:name="_Toc184313289"/>
      <w:bookmarkEnd w:id="81"/>
      <w:bookmarkStart w:id="82" w:name="_Toc184310275"/>
      <w:bookmarkEnd w:id="82"/>
      <w:bookmarkStart w:id="83" w:name="_Toc184313302"/>
      <w:bookmarkEnd w:id="83"/>
      <w:bookmarkStart w:id="84" w:name="_Toc184313270"/>
      <w:bookmarkEnd w:id="84"/>
      <w:bookmarkStart w:id="85" w:name="_Toc184312097"/>
      <w:bookmarkEnd w:id="85"/>
      <w:bookmarkStart w:id="86" w:name="_Toc184314476"/>
      <w:bookmarkEnd w:id="86"/>
      <w:bookmarkStart w:id="87" w:name="_Toc184313241"/>
      <w:bookmarkEnd w:id="87"/>
      <w:bookmarkStart w:id="88" w:name="_Toc184308071"/>
      <w:bookmarkEnd w:id="88"/>
      <w:bookmarkStart w:id="89" w:name="_Toc184314463"/>
      <w:bookmarkEnd w:id="89"/>
      <w:bookmarkStart w:id="90" w:name="_Toc184314413"/>
      <w:bookmarkEnd w:id="90"/>
      <w:bookmarkStart w:id="91" w:name="_Toc184312120"/>
      <w:bookmarkEnd w:id="91"/>
      <w:bookmarkStart w:id="92" w:name="_Toc184314481"/>
      <w:bookmarkEnd w:id="92"/>
      <w:bookmarkStart w:id="93" w:name="_Toc184312126"/>
      <w:bookmarkEnd w:id="93"/>
      <w:bookmarkStart w:id="94" w:name="_Toc184312105"/>
      <w:bookmarkEnd w:id="94"/>
      <w:bookmarkStart w:id="95" w:name="_Toc184314465"/>
      <w:bookmarkEnd w:id="95"/>
      <w:bookmarkStart w:id="96" w:name="_Toc184312091"/>
      <w:bookmarkEnd w:id="96"/>
      <w:bookmarkStart w:id="97" w:name="_Toc184310336"/>
      <w:bookmarkEnd w:id="97"/>
      <w:bookmarkStart w:id="98" w:name="_Toc184314475"/>
      <w:bookmarkEnd w:id="98"/>
      <w:bookmarkStart w:id="99" w:name="_Toc184314433"/>
      <w:bookmarkEnd w:id="99"/>
      <w:bookmarkStart w:id="100" w:name="_Toc184310289"/>
      <w:bookmarkEnd w:id="100"/>
      <w:bookmarkStart w:id="101" w:name="_Toc184312076"/>
      <w:bookmarkEnd w:id="101"/>
      <w:bookmarkStart w:id="102" w:name="_Toc184308106"/>
      <w:bookmarkEnd w:id="102"/>
      <w:bookmarkStart w:id="103" w:name="_Toc184314468"/>
      <w:bookmarkEnd w:id="103"/>
      <w:bookmarkStart w:id="104" w:name="_Toc184314443"/>
      <w:bookmarkEnd w:id="104"/>
      <w:bookmarkStart w:id="105" w:name="_Toc184312134"/>
      <w:bookmarkEnd w:id="105"/>
      <w:bookmarkStart w:id="106" w:name="_Toc184314482"/>
      <w:bookmarkEnd w:id="106"/>
      <w:bookmarkStart w:id="107" w:name="_Toc184313308"/>
      <w:bookmarkEnd w:id="107"/>
      <w:bookmarkStart w:id="108" w:name="_Toc184308084"/>
      <w:bookmarkEnd w:id="108"/>
      <w:bookmarkStart w:id="109" w:name="_Toc184312124"/>
      <w:bookmarkEnd w:id="109"/>
      <w:bookmarkStart w:id="110" w:name="_Toc184310331"/>
      <w:bookmarkEnd w:id="110"/>
      <w:bookmarkStart w:id="111" w:name="_Toc184310296"/>
      <w:bookmarkEnd w:id="111"/>
      <w:bookmarkStart w:id="112" w:name="_Toc184308060"/>
      <w:bookmarkEnd w:id="112"/>
      <w:bookmarkStart w:id="113" w:name="_Toc184308081"/>
      <w:bookmarkEnd w:id="113"/>
      <w:bookmarkStart w:id="114" w:name="_Toc184313260"/>
      <w:bookmarkEnd w:id="114"/>
      <w:bookmarkStart w:id="115" w:name="_Toc184313251"/>
      <w:bookmarkEnd w:id="115"/>
      <w:bookmarkStart w:id="116" w:name="_Toc184312123"/>
      <w:bookmarkEnd w:id="116"/>
      <w:bookmarkStart w:id="117" w:name="_Toc184313285"/>
      <w:bookmarkEnd w:id="117"/>
      <w:bookmarkStart w:id="118" w:name="_Toc184308079"/>
      <w:bookmarkEnd w:id="118"/>
      <w:bookmarkStart w:id="119" w:name="_Toc184308051"/>
      <w:bookmarkEnd w:id="119"/>
      <w:bookmarkStart w:id="120" w:name="_Toc184312115"/>
      <w:bookmarkEnd w:id="120"/>
      <w:bookmarkStart w:id="121" w:name="_Toc184308078"/>
      <w:bookmarkEnd w:id="121"/>
      <w:bookmarkStart w:id="122" w:name="_Toc184308050"/>
      <w:bookmarkEnd w:id="122"/>
      <w:bookmarkStart w:id="123" w:name="_Toc184314445"/>
      <w:bookmarkEnd w:id="123"/>
      <w:bookmarkStart w:id="124" w:name="_Toc184313269"/>
      <w:bookmarkEnd w:id="124"/>
      <w:bookmarkStart w:id="125" w:name="_Toc184313247"/>
      <w:bookmarkEnd w:id="125"/>
      <w:bookmarkStart w:id="126" w:name="_Toc184314437"/>
      <w:bookmarkEnd w:id="126"/>
      <w:bookmarkStart w:id="127" w:name="_Toc184312118"/>
      <w:bookmarkEnd w:id="127"/>
      <w:bookmarkStart w:id="128" w:name="_Toc184313267"/>
      <w:bookmarkEnd w:id="128"/>
      <w:bookmarkStart w:id="129" w:name="_Toc184314451"/>
      <w:bookmarkEnd w:id="129"/>
      <w:bookmarkStart w:id="130" w:name="_Toc184310302"/>
      <w:bookmarkEnd w:id="130"/>
      <w:bookmarkStart w:id="131" w:name="_Toc184312088"/>
      <w:bookmarkEnd w:id="131"/>
      <w:bookmarkStart w:id="132" w:name="_Toc184313266"/>
      <w:bookmarkEnd w:id="132"/>
      <w:bookmarkStart w:id="133" w:name="_Toc184312136"/>
      <w:bookmarkEnd w:id="133"/>
      <w:bookmarkStart w:id="134" w:name="_Toc184313290"/>
      <w:bookmarkEnd w:id="134"/>
      <w:bookmarkStart w:id="135" w:name="_Toc184308065"/>
      <w:bookmarkEnd w:id="135"/>
      <w:bookmarkStart w:id="136" w:name="_Toc184313250"/>
      <w:bookmarkEnd w:id="136"/>
      <w:bookmarkStart w:id="137" w:name="_Toc184313276"/>
      <w:bookmarkEnd w:id="137"/>
      <w:bookmarkStart w:id="138" w:name="_Toc184313291"/>
      <w:bookmarkEnd w:id="138"/>
      <w:bookmarkStart w:id="139" w:name="_Toc184314416"/>
      <w:bookmarkEnd w:id="139"/>
      <w:bookmarkStart w:id="140" w:name="_Toc184310338"/>
      <w:bookmarkEnd w:id="140"/>
      <w:bookmarkStart w:id="141" w:name="_Toc184313281"/>
      <w:bookmarkEnd w:id="141"/>
      <w:bookmarkStart w:id="142" w:name="_Toc184314425"/>
      <w:bookmarkEnd w:id="142"/>
      <w:bookmarkStart w:id="143" w:name="_Toc184312101"/>
      <w:bookmarkEnd w:id="143"/>
      <w:bookmarkStart w:id="144" w:name="_Toc184313253"/>
      <w:bookmarkEnd w:id="144"/>
      <w:bookmarkStart w:id="145" w:name="_Toc184314426"/>
      <w:bookmarkEnd w:id="145"/>
      <w:bookmarkStart w:id="146" w:name="_Toc184310287"/>
      <w:bookmarkEnd w:id="146"/>
      <w:bookmarkStart w:id="147" w:name="_Toc184314459"/>
      <w:bookmarkEnd w:id="147"/>
      <w:bookmarkStart w:id="148" w:name="_Toc184308095"/>
      <w:bookmarkEnd w:id="148"/>
      <w:bookmarkStart w:id="149" w:name="_Toc184312112"/>
      <w:bookmarkEnd w:id="149"/>
      <w:bookmarkStart w:id="150" w:name="_Toc184310315"/>
      <w:bookmarkEnd w:id="150"/>
      <w:bookmarkStart w:id="151" w:name="_Toc184312070"/>
      <w:bookmarkEnd w:id="151"/>
      <w:bookmarkStart w:id="152" w:name="_Toc184308054"/>
      <w:bookmarkEnd w:id="152"/>
      <w:bookmarkStart w:id="153" w:name="_Toc184314439"/>
      <w:bookmarkEnd w:id="153"/>
      <w:bookmarkStart w:id="154" w:name="_Toc184313295"/>
      <w:bookmarkEnd w:id="154"/>
      <w:bookmarkStart w:id="155" w:name="_Toc184308046"/>
      <w:bookmarkEnd w:id="155"/>
      <w:bookmarkStart w:id="156" w:name="_Toc184313280"/>
      <w:bookmarkEnd w:id="156"/>
      <w:bookmarkStart w:id="157" w:name="_Toc184312089"/>
      <w:bookmarkEnd w:id="157"/>
      <w:bookmarkStart w:id="158" w:name="_Toc184308097"/>
      <w:bookmarkEnd w:id="158"/>
      <w:bookmarkStart w:id="159" w:name="_Toc184308096"/>
      <w:bookmarkEnd w:id="159"/>
      <w:bookmarkStart w:id="160" w:name="_Toc184314411"/>
      <w:bookmarkEnd w:id="160"/>
      <w:bookmarkStart w:id="161" w:name="_Toc184313254"/>
      <w:bookmarkEnd w:id="161"/>
      <w:bookmarkStart w:id="162" w:name="_Toc184308056"/>
      <w:bookmarkEnd w:id="162"/>
      <w:bookmarkStart w:id="163" w:name="_Toc184314410"/>
      <w:bookmarkEnd w:id="163"/>
      <w:bookmarkStart w:id="164" w:name="_Toc184312131"/>
      <w:bookmarkEnd w:id="164"/>
      <w:bookmarkStart w:id="165" w:name="_Toc184310307"/>
      <w:bookmarkEnd w:id="165"/>
      <w:bookmarkStart w:id="166" w:name="_Toc184310329"/>
      <w:bookmarkEnd w:id="166"/>
      <w:bookmarkStart w:id="167" w:name="_Toc184312086"/>
      <w:bookmarkEnd w:id="167"/>
      <w:bookmarkStart w:id="168" w:name="_Toc184312098"/>
      <w:bookmarkEnd w:id="168"/>
      <w:bookmarkStart w:id="169" w:name="_Toc184314447"/>
      <w:bookmarkEnd w:id="169"/>
      <w:bookmarkStart w:id="170" w:name="_Toc184308057"/>
      <w:bookmarkEnd w:id="170"/>
      <w:bookmarkStart w:id="171" w:name="_Toc184314460"/>
      <w:bookmarkEnd w:id="171"/>
      <w:bookmarkStart w:id="172" w:name="_Toc184308083"/>
      <w:bookmarkEnd w:id="172"/>
      <w:bookmarkStart w:id="173" w:name="_Toc184314435"/>
      <w:bookmarkEnd w:id="173"/>
      <w:bookmarkStart w:id="174" w:name="_Toc184310283"/>
      <w:bookmarkEnd w:id="174"/>
      <w:bookmarkStart w:id="175" w:name="_Toc184312139"/>
      <w:bookmarkEnd w:id="175"/>
      <w:bookmarkStart w:id="176" w:name="_Toc184312128"/>
      <w:bookmarkEnd w:id="176"/>
      <w:bookmarkStart w:id="177" w:name="_Toc184312094"/>
      <w:bookmarkEnd w:id="177"/>
      <w:bookmarkStart w:id="178" w:name="_Toc184312082"/>
      <w:bookmarkEnd w:id="178"/>
      <w:bookmarkStart w:id="179" w:name="_Toc184314436"/>
      <w:bookmarkEnd w:id="179"/>
      <w:bookmarkStart w:id="180" w:name="_Toc184314452"/>
      <w:bookmarkEnd w:id="180"/>
      <w:bookmarkStart w:id="181" w:name="_Toc184312137"/>
      <w:bookmarkEnd w:id="181"/>
      <w:bookmarkStart w:id="182" w:name="_Toc184314424"/>
      <w:bookmarkEnd w:id="182"/>
      <w:bookmarkStart w:id="183" w:name="_Toc184310344"/>
      <w:bookmarkEnd w:id="183"/>
      <w:bookmarkStart w:id="184" w:name="_Toc184313278"/>
      <w:bookmarkEnd w:id="184"/>
      <w:bookmarkStart w:id="185" w:name="_Toc184312084"/>
      <w:bookmarkEnd w:id="185"/>
      <w:bookmarkStart w:id="186" w:name="_Toc184312093"/>
      <w:bookmarkEnd w:id="186"/>
      <w:bookmarkStart w:id="187" w:name="_Toc184308090"/>
      <w:bookmarkEnd w:id="187"/>
      <w:bookmarkStart w:id="188" w:name="_Toc184310292"/>
      <w:bookmarkEnd w:id="188"/>
      <w:bookmarkStart w:id="189" w:name="_Toc184308039"/>
      <w:bookmarkEnd w:id="189"/>
      <w:bookmarkStart w:id="190" w:name="_Toc184308101"/>
      <w:bookmarkEnd w:id="190"/>
      <w:bookmarkStart w:id="191" w:name="_Toc184310311"/>
      <w:bookmarkEnd w:id="191"/>
      <w:bookmarkStart w:id="192" w:name="_Toc184310320"/>
      <w:bookmarkEnd w:id="192"/>
      <w:bookmarkStart w:id="193" w:name="_Toc184314427"/>
      <w:bookmarkEnd w:id="193"/>
      <w:bookmarkStart w:id="194" w:name="_Toc184308062"/>
      <w:bookmarkEnd w:id="194"/>
      <w:bookmarkStart w:id="195" w:name="_Toc184313261"/>
      <w:bookmarkEnd w:id="195"/>
      <w:bookmarkStart w:id="196" w:name="_Toc184308038"/>
      <w:bookmarkEnd w:id="196"/>
      <w:bookmarkStart w:id="197" w:name="_Toc184308077"/>
      <w:bookmarkEnd w:id="197"/>
      <w:bookmarkStart w:id="198" w:name="_Toc184314467"/>
      <w:bookmarkEnd w:id="198"/>
      <w:bookmarkStart w:id="199" w:name="_Toc184313273"/>
      <w:bookmarkEnd w:id="199"/>
      <w:bookmarkStart w:id="200" w:name="_Toc184310316"/>
      <w:bookmarkEnd w:id="200"/>
      <w:bookmarkStart w:id="201" w:name="_Toc184310280"/>
      <w:bookmarkEnd w:id="201"/>
      <w:bookmarkStart w:id="202" w:name="_Toc184314458"/>
      <w:bookmarkEnd w:id="202"/>
      <w:bookmarkStart w:id="203" w:name="_Toc184308094"/>
      <w:bookmarkEnd w:id="203"/>
      <w:bookmarkStart w:id="204" w:name="_Toc184312079"/>
      <w:bookmarkEnd w:id="204"/>
      <w:bookmarkStart w:id="205" w:name="_Toc184314473"/>
      <w:bookmarkEnd w:id="205"/>
      <w:bookmarkStart w:id="206" w:name="_Toc184313272"/>
      <w:bookmarkEnd w:id="206"/>
      <w:bookmarkStart w:id="207" w:name="_Toc184308059"/>
      <w:bookmarkEnd w:id="207"/>
      <w:bookmarkStart w:id="208" w:name="_Toc184314461"/>
      <w:bookmarkEnd w:id="208"/>
      <w:bookmarkStart w:id="209" w:name="_Toc184313297"/>
      <w:bookmarkEnd w:id="209"/>
      <w:bookmarkStart w:id="210" w:name="_Toc184308088"/>
      <w:bookmarkEnd w:id="210"/>
      <w:bookmarkStart w:id="211" w:name="_Toc184308043"/>
      <w:bookmarkEnd w:id="211"/>
      <w:bookmarkStart w:id="212" w:name="_Toc184313268"/>
      <w:bookmarkEnd w:id="212"/>
      <w:bookmarkStart w:id="213" w:name="_Toc184313296"/>
      <w:bookmarkEnd w:id="213"/>
      <w:bookmarkStart w:id="214" w:name="_Toc184308098"/>
      <w:bookmarkEnd w:id="214"/>
      <w:bookmarkStart w:id="215" w:name="_Toc184312135"/>
      <w:bookmarkEnd w:id="215"/>
      <w:bookmarkStart w:id="216" w:name="_Toc184308063"/>
      <w:bookmarkEnd w:id="216"/>
      <w:bookmarkStart w:id="217" w:name="_Toc184312138"/>
      <w:bookmarkEnd w:id="217"/>
      <w:bookmarkStart w:id="218" w:name="_Toc184310309"/>
      <w:bookmarkEnd w:id="218"/>
      <w:bookmarkStart w:id="219" w:name="_Toc184308074"/>
      <w:bookmarkEnd w:id="219"/>
      <w:bookmarkStart w:id="220" w:name="_Toc184312104"/>
      <w:bookmarkEnd w:id="220"/>
      <w:bookmarkStart w:id="221" w:name="_Toc184308042"/>
      <w:bookmarkEnd w:id="221"/>
      <w:bookmarkStart w:id="222" w:name="_Toc184308066"/>
      <w:bookmarkEnd w:id="222"/>
      <w:bookmarkStart w:id="223" w:name="_Toc184313303"/>
      <w:bookmarkEnd w:id="223"/>
      <w:bookmarkStart w:id="224" w:name="_Toc184314430"/>
      <w:bookmarkEnd w:id="224"/>
      <w:bookmarkStart w:id="225" w:name="_Toc184312109"/>
      <w:bookmarkEnd w:id="225"/>
      <w:bookmarkStart w:id="226" w:name="_Toc184310306"/>
      <w:bookmarkEnd w:id="226"/>
      <w:bookmarkStart w:id="227" w:name="_Toc184314474"/>
      <w:bookmarkEnd w:id="227"/>
      <w:bookmarkStart w:id="228" w:name="_Toc184308053"/>
      <w:bookmarkEnd w:id="228"/>
      <w:bookmarkStart w:id="229" w:name="_Toc184314412"/>
      <w:bookmarkEnd w:id="229"/>
      <w:bookmarkStart w:id="230" w:name="_Toc184310279"/>
      <w:bookmarkEnd w:id="230"/>
      <w:bookmarkStart w:id="231" w:name="_Toc184314471"/>
      <w:bookmarkEnd w:id="231"/>
      <w:bookmarkStart w:id="232" w:name="_Toc184314417"/>
      <w:bookmarkEnd w:id="232"/>
      <w:bookmarkStart w:id="233" w:name="_Toc184312096"/>
      <w:bookmarkEnd w:id="233"/>
      <w:bookmarkStart w:id="234" w:name="_Toc184310288"/>
      <w:bookmarkEnd w:id="234"/>
      <w:bookmarkStart w:id="235" w:name="_Toc184310277"/>
      <w:bookmarkEnd w:id="235"/>
      <w:bookmarkStart w:id="236" w:name="_Toc184308091"/>
      <w:bookmarkEnd w:id="236"/>
      <w:bookmarkStart w:id="237" w:name="_Toc184314464"/>
      <w:bookmarkEnd w:id="237"/>
      <w:bookmarkStart w:id="238" w:name="_Toc184312117"/>
      <w:bookmarkEnd w:id="238"/>
      <w:bookmarkStart w:id="239" w:name="_Toc184310301"/>
      <w:bookmarkEnd w:id="239"/>
      <w:bookmarkStart w:id="240" w:name="_Toc184314415"/>
      <w:bookmarkEnd w:id="240"/>
      <w:bookmarkStart w:id="241" w:name="_Toc184308044"/>
      <w:bookmarkEnd w:id="241"/>
      <w:bookmarkStart w:id="242" w:name="_Toc184312083"/>
      <w:bookmarkEnd w:id="242"/>
      <w:bookmarkStart w:id="243" w:name="_Toc184308064"/>
      <w:bookmarkEnd w:id="243"/>
      <w:bookmarkStart w:id="244" w:name="_Toc184313305"/>
      <w:bookmarkEnd w:id="244"/>
      <w:bookmarkStart w:id="245" w:name="_Toc184314423"/>
      <w:bookmarkEnd w:id="245"/>
      <w:bookmarkStart w:id="246" w:name="_Toc184314421"/>
      <w:bookmarkEnd w:id="246"/>
      <w:bookmarkStart w:id="247" w:name="_Toc184310314"/>
      <w:bookmarkEnd w:id="247"/>
      <w:bookmarkStart w:id="248" w:name="_Toc184310312"/>
      <w:bookmarkEnd w:id="248"/>
      <w:bookmarkStart w:id="249" w:name="_Toc184313263"/>
      <w:bookmarkEnd w:id="249"/>
      <w:bookmarkStart w:id="250" w:name="_Toc184310294"/>
      <w:bookmarkEnd w:id="250"/>
      <w:bookmarkStart w:id="251" w:name="_Toc184312107"/>
      <w:bookmarkEnd w:id="251"/>
      <w:bookmarkStart w:id="252" w:name="_Toc184308108"/>
      <w:bookmarkEnd w:id="252"/>
      <w:bookmarkStart w:id="253" w:name="_Toc184312116"/>
      <w:bookmarkEnd w:id="253"/>
      <w:bookmarkStart w:id="254" w:name="_Toc184308052"/>
      <w:bookmarkEnd w:id="254"/>
      <w:bookmarkStart w:id="255" w:name="_Toc184310300"/>
      <w:bookmarkEnd w:id="255"/>
      <w:bookmarkStart w:id="256" w:name="_Toc184313293"/>
      <w:bookmarkEnd w:id="256"/>
      <w:bookmarkStart w:id="257" w:name="_Toc184314469"/>
      <w:bookmarkEnd w:id="257"/>
      <w:bookmarkStart w:id="258" w:name="_Toc184312074"/>
      <w:bookmarkEnd w:id="258"/>
      <w:bookmarkStart w:id="259" w:name="_Toc184312102"/>
      <w:bookmarkEnd w:id="259"/>
      <w:bookmarkStart w:id="260" w:name="_Toc184314444"/>
      <w:bookmarkEnd w:id="260"/>
      <w:bookmarkStart w:id="261" w:name="_Toc184308037"/>
      <w:bookmarkEnd w:id="261"/>
      <w:bookmarkStart w:id="262" w:name="_Toc184310274"/>
      <w:bookmarkEnd w:id="262"/>
      <w:bookmarkStart w:id="263" w:name="_Toc184312087"/>
      <w:bookmarkEnd w:id="263"/>
      <w:bookmarkStart w:id="264" w:name="_Toc184313307"/>
      <w:bookmarkEnd w:id="264"/>
      <w:bookmarkStart w:id="265" w:name="_Toc184308068"/>
      <w:bookmarkEnd w:id="265"/>
      <w:bookmarkStart w:id="266" w:name="_Toc184310328"/>
      <w:bookmarkEnd w:id="266"/>
      <w:bookmarkStart w:id="267" w:name="_Toc184308047"/>
      <w:bookmarkEnd w:id="267"/>
      <w:bookmarkStart w:id="268" w:name="_Toc184310335"/>
      <w:bookmarkEnd w:id="268"/>
      <w:bookmarkStart w:id="269" w:name="_Toc184310343"/>
      <w:bookmarkEnd w:id="269"/>
      <w:bookmarkStart w:id="270" w:name="_Toc184313292"/>
      <w:bookmarkEnd w:id="270"/>
      <w:bookmarkStart w:id="271" w:name="_Toc184313279"/>
      <w:bookmarkEnd w:id="271"/>
      <w:bookmarkStart w:id="272" w:name="_Toc184310273"/>
      <w:bookmarkEnd w:id="272"/>
      <w:bookmarkStart w:id="273" w:name="_Toc184313294"/>
      <w:bookmarkEnd w:id="273"/>
      <w:bookmarkStart w:id="274" w:name="_Toc184310327"/>
      <w:bookmarkEnd w:id="274"/>
      <w:bookmarkStart w:id="275" w:name="_Toc184314477"/>
      <w:bookmarkEnd w:id="275"/>
      <w:bookmarkStart w:id="276" w:name="_Toc184308102"/>
      <w:bookmarkEnd w:id="276"/>
      <w:bookmarkStart w:id="277" w:name="_Toc184313275"/>
      <w:bookmarkEnd w:id="277"/>
      <w:bookmarkStart w:id="278" w:name="_Toc184308070"/>
      <w:bookmarkEnd w:id="278"/>
      <w:bookmarkStart w:id="279" w:name="_Toc184312069"/>
      <w:bookmarkEnd w:id="279"/>
      <w:bookmarkStart w:id="280" w:name="_Toc184312103"/>
      <w:bookmarkEnd w:id="280"/>
      <w:bookmarkStart w:id="281" w:name="_Toc184312067"/>
      <w:bookmarkEnd w:id="281"/>
      <w:bookmarkStart w:id="282" w:name="_Toc184308073"/>
      <w:bookmarkEnd w:id="282"/>
      <w:bookmarkStart w:id="283" w:name="_Toc184314446"/>
      <w:bookmarkEnd w:id="283"/>
      <w:bookmarkStart w:id="284" w:name="_Toc184312125"/>
      <w:bookmarkEnd w:id="284"/>
      <w:bookmarkStart w:id="285" w:name="_Toc184310332"/>
      <w:bookmarkEnd w:id="285"/>
      <w:bookmarkStart w:id="286" w:name="_Toc184312110"/>
      <w:bookmarkEnd w:id="286"/>
      <w:bookmarkStart w:id="287" w:name="_Toc184308080"/>
      <w:bookmarkEnd w:id="287"/>
      <w:bookmarkStart w:id="288" w:name="_Toc184314440"/>
      <w:bookmarkEnd w:id="288"/>
      <w:bookmarkStart w:id="289" w:name="_Toc184308082"/>
      <w:bookmarkEnd w:id="289"/>
      <w:bookmarkStart w:id="290" w:name="_Toc184313300"/>
      <w:bookmarkEnd w:id="290"/>
      <w:bookmarkStart w:id="291" w:name="_Toc184310323"/>
      <w:bookmarkEnd w:id="291"/>
      <w:bookmarkStart w:id="292" w:name="_Toc184313240"/>
      <w:bookmarkEnd w:id="292"/>
      <w:bookmarkStart w:id="293" w:name="_Toc184313248"/>
      <w:bookmarkEnd w:id="293"/>
      <w:bookmarkStart w:id="294" w:name="_Toc184312133"/>
      <w:bookmarkEnd w:id="294"/>
      <w:bookmarkStart w:id="295" w:name="_Toc184312122"/>
      <w:bookmarkEnd w:id="295"/>
      <w:bookmarkStart w:id="296" w:name="_Toc184313245"/>
      <w:bookmarkEnd w:id="296"/>
      <w:bookmarkStart w:id="297" w:name="_Toc184313257"/>
      <w:bookmarkEnd w:id="297"/>
      <w:bookmarkStart w:id="298" w:name="_Toc184313282"/>
      <w:bookmarkEnd w:id="298"/>
      <w:bookmarkStart w:id="299" w:name="_Toc184312072"/>
      <w:bookmarkEnd w:id="299"/>
      <w:bookmarkStart w:id="300" w:name="_Toc184310321"/>
      <w:bookmarkEnd w:id="300"/>
      <w:bookmarkStart w:id="301" w:name="_Toc184313259"/>
      <w:bookmarkEnd w:id="301"/>
      <w:bookmarkStart w:id="302" w:name="_Toc184313256"/>
      <w:bookmarkEnd w:id="302"/>
      <w:bookmarkStart w:id="303" w:name="_Toc184314454"/>
      <w:bookmarkEnd w:id="303"/>
      <w:bookmarkStart w:id="304" w:name="_Toc184312121"/>
      <w:bookmarkEnd w:id="304"/>
      <w:bookmarkStart w:id="305" w:name="_Toc184313274"/>
      <w:bookmarkEnd w:id="305"/>
      <w:bookmarkStart w:id="306" w:name="_Toc184314478"/>
      <w:bookmarkEnd w:id="306"/>
      <w:bookmarkStart w:id="307" w:name="_Toc184310337"/>
      <w:bookmarkEnd w:id="307"/>
      <w:bookmarkStart w:id="308" w:name="_Toc184314453"/>
      <w:bookmarkEnd w:id="308"/>
      <w:bookmarkStart w:id="309" w:name="_Toc184312075"/>
      <w:bookmarkEnd w:id="309"/>
      <w:bookmarkStart w:id="310" w:name="_Toc184308107"/>
      <w:bookmarkEnd w:id="310"/>
      <w:bookmarkStart w:id="311" w:name="_Toc184310310"/>
      <w:bookmarkEnd w:id="311"/>
      <w:bookmarkStart w:id="312" w:name="_Toc184314457"/>
      <w:bookmarkEnd w:id="312"/>
      <w:bookmarkStart w:id="313" w:name="_Toc184312071"/>
      <w:bookmarkEnd w:id="313"/>
      <w:bookmarkStart w:id="314" w:name="_Toc184310276"/>
      <w:bookmarkEnd w:id="314"/>
      <w:bookmarkStart w:id="315" w:name="_Toc184314428"/>
      <w:bookmarkEnd w:id="315"/>
      <w:bookmarkStart w:id="316" w:name="_Toc184314456"/>
      <w:bookmarkEnd w:id="316"/>
      <w:bookmarkStart w:id="317" w:name="_Toc184312092"/>
      <w:bookmarkEnd w:id="317"/>
      <w:bookmarkStart w:id="318" w:name="_Toc184310339"/>
      <w:bookmarkEnd w:id="318"/>
      <w:bookmarkStart w:id="319" w:name="_Toc184312113"/>
      <w:bookmarkEnd w:id="319"/>
      <w:bookmarkStart w:id="320" w:name="_Toc184310340"/>
      <w:bookmarkEnd w:id="320"/>
      <w:bookmarkStart w:id="321" w:name="_Toc184313288"/>
      <w:bookmarkEnd w:id="321"/>
      <w:bookmarkStart w:id="322" w:name="_Toc184310317"/>
      <w:bookmarkEnd w:id="322"/>
      <w:bookmarkStart w:id="323" w:name="_Toc184313243"/>
      <w:bookmarkEnd w:id="323"/>
      <w:bookmarkStart w:id="324" w:name="_Toc184308036"/>
      <w:bookmarkEnd w:id="324"/>
      <w:bookmarkStart w:id="325" w:name="_Toc184310319"/>
      <w:bookmarkEnd w:id="325"/>
      <w:bookmarkStart w:id="326" w:name="_Toc184308085"/>
      <w:bookmarkEnd w:id="326"/>
      <w:bookmarkStart w:id="327" w:name="_Toc184313310"/>
      <w:bookmarkEnd w:id="327"/>
      <w:bookmarkStart w:id="328" w:name="_Toc184310297"/>
      <w:bookmarkEnd w:id="328"/>
      <w:bookmarkStart w:id="329" w:name="_Toc184313309"/>
      <w:bookmarkEnd w:id="329"/>
      <w:bookmarkStart w:id="330" w:name="_Toc184313249"/>
      <w:bookmarkEnd w:id="330"/>
      <w:bookmarkStart w:id="331" w:name="_Toc184310326"/>
      <w:bookmarkEnd w:id="331"/>
      <w:bookmarkStart w:id="332" w:name="_Toc184310291"/>
      <w:bookmarkEnd w:id="332"/>
      <w:bookmarkStart w:id="333" w:name="_Toc184308075"/>
      <w:bookmarkEnd w:id="333"/>
      <w:bookmarkStart w:id="334" w:name="_Toc184310333"/>
      <w:bookmarkEnd w:id="334"/>
      <w:bookmarkStart w:id="335" w:name="_Toc184310293"/>
      <w:bookmarkEnd w:id="335"/>
      <w:bookmarkStart w:id="336" w:name="_Toc184313244"/>
      <w:bookmarkEnd w:id="336"/>
      <w:bookmarkStart w:id="337" w:name="_Toc184313283"/>
      <w:bookmarkEnd w:id="337"/>
      <w:bookmarkStart w:id="338" w:name="_Toc184310324"/>
      <w:bookmarkEnd w:id="338"/>
      <w:bookmarkStart w:id="339" w:name="_Toc184313287"/>
      <w:bookmarkEnd w:id="339"/>
      <w:bookmarkStart w:id="340" w:name="_Toc184310299"/>
      <w:bookmarkEnd w:id="340"/>
      <w:bookmarkStart w:id="341" w:name="_Toc184312119"/>
      <w:bookmarkEnd w:id="341"/>
      <w:bookmarkStart w:id="342" w:name="_Toc184308103"/>
      <w:bookmarkEnd w:id="342"/>
      <w:bookmarkStart w:id="343" w:name="_Toc184312077"/>
      <w:bookmarkEnd w:id="343"/>
      <w:bookmarkStart w:id="344" w:name="_Toc184313304"/>
      <w:bookmarkEnd w:id="344"/>
      <w:bookmarkStart w:id="345" w:name="_Toc184308099"/>
      <w:bookmarkEnd w:id="345"/>
      <w:bookmarkStart w:id="346" w:name="_Toc184312099"/>
      <w:bookmarkEnd w:id="346"/>
      <w:bookmarkStart w:id="347" w:name="_Toc184314438"/>
      <w:bookmarkEnd w:id="347"/>
      <w:bookmarkStart w:id="348" w:name="_Toc184313284"/>
      <w:bookmarkEnd w:id="348"/>
      <w:bookmarkStart w:id="349" w:name="_Toc184308076"/>
      <w:bookmarkEnd w:id="349"/>
      <w:bookmarkStart w:id="350" w:name="_Toc184312100"/>
      <w:bookmarkEnd w:id="350"/>
      <w:bookmarkStart w:id="351" w:name="_Toc184308105"/>
      <w:bookmarkEnd w:id="351"/>
      <w:bookmarkStart w:id="352" w:name="_Toc184310272"/>
      <w:bookmarkEnd w:id="352"/>
      <w:bookmarkStart w:id="353" w:name="_Toc184312106"/>
      <w:bookmarkEnd w:id="353"/>
      <w:bookmarkStart w:id="354" w:name="_Toc184310303"/>
      <w:bookmarkEnd w:id="354"/>
      <w:bookmarkStart w:id="355" w:name="_Toc184308093"/>
      <w:bookmarkEnd w:id="355"/>
      <w:bookmarkStart w:id="356" w:name="_Toc184312080"/>
      <w:bookmarkEnd w:id="356"/>
      <w:bookmarkStart w:id="357" w:name="_Toc184308040"/>
      <w:bookmarkEnd w:id="357"/>
      <w:bookmarkStart w:id="358" w:name="_Toc184310281"/>
      <w:bookmarkEnd w:id="358"/>
      <w:bookmarkStart w:id="359" w:name="_Toc184314414"/>
      <w:bookmarkEnd w:id="359"/>
      <w:bookmarkStart w:id="360" w:name="_Toc184314480"/>
      <w:bookmarkEnd w:id="360"/>
      <w:bookmarkStart w:id="361" w:name="_Toc184314422"/>
      <w:bookmarkEnd w:id="361"/>
      <w:bookmarkStart w:id="362" w:name="_Toc184313262"/>
      <w:bookmarkEnd w:id="362"/>
      <w:bookmarkStart w:id="363" w:name="_Toc184308061"/>
      <w:bookmarkEnd w:id="363"/>
      <w:bookmarkStart w:id="364" w:name="_Toc184308069"/>
      <w:bookmarkEnd w:id="364"/>
      <w:bookmarkStart w:id="365" w:name="_Toc184310298"/>
      <w:bookmarkEnd w:id="365"/>
      <w:bookmarkStart w:id="366" w:name="_Toc184308067"/>
      <w:bookmarkEnd w:id="366"/>
      <w:r>
        <w:rPr>
          <w:rFonts w:hint="eastAsia" w:cs="仿宋" w:asciiTheme="minorEastAsia" w:hAnsiTheme="minorEastAsia"/>
          <w:b/>
          <w:color w:val="auto"/>
          <w:sz w:val="36"/>
          <w:szCs w:val="36"/>
          <w:highlight w:val="none"/>
        </w:rPr>
        <w:t>评审方法</w:t>
      </w:r>
    </w:p>
    <w:p w14:paraId="799ADC2C">
      <w:pPr>
        <w:adjustRightInd w:val="0"/>
        <w:snapToGrid w:val="0"/>
        <w:spacing w:line="460" w:lineRule="exact"/>
        <w:ind w:firstLine="480" w:firstLineChars="200"/>
        <w:rPr>
          <w:rFonts w:cs="仿宋" w:asciiTheme="minorEastAsia" w:hAnsiTheme="minorEastAsia"/>
          <w:color w:val="auto"/>
          <w:sz w:val="24"/>
          <w:highlight w:val="none"/>
        </w:rPr>
      </w:pPr>
    </w:p>
    <w:p w14:paraId="782A9FD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10"/>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w:t>
      </w:r>
      <w:r>
        <w:rPr>
          <w:rFonts w:hint="eastAsia" w:ascii="宋体" w:hAnsi="宋体" w:cs="宋体"/>
          <w:color w:val="auto"/>
          <w:kern w:val="0"/>
          <w:sz w:val="24"/>
          <w:highlight w:val="none"/>
          <w:lang w:val="en-US" w:eastAsia="zh-CN"/>
        </w:rPr>
        <w:t>上传</w:t>
      </w:r>
      <w:r>
        <w:rPr>
          <w:rFonts w:hint="eastAsia" w:ascii="宋体" w:hAnsi="宋体" w:cs="宋体"/>
          <w:color w:val="auto"/>
          <w:kern w:val="0"/>
          <w:sz w:val="24"/>
          <w:highlight w:val="none"/>
        </w:rPr>
        <w:t>的响应文件；</w:t>
      </w:r>
    </w:p>
    <w:p w14:paraId="1A3D2FD9">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 xml:space="preserve"> PDF</w:t>
      </w:r>
      <w:r>
        <w:rPr>
          <w:rFonts w:hint="eastAsia" w:cs="仿宋" w:asciiTheme="minorEastAsia" w:hAnsiTheme="minorEastAsia"/>
          <w:color w:val="auto"/>
          <w:sz w:val="24"/>
          <w:highlight w:val="none"/>
        </w:rPr>
        <w:t>响应文件报价函</w:t>
      </w:r>
      <w:r>
        <w:rPr>
          <w:rFonts w:hint="eastAsia" w:cs="仿宋" w:asciiTheme="minorEastAsia" w:hAnsiTheme="minorEastAsia"/>
          <w:color w:val="auto"/>
          <w:sz w:val="24"/>
          <w:highlight w:val="none"/>
          <w:lang w:val="en-US" w:eastAsia="zh-CN"/>
        </w:rPr>
        <w:t>与电子</w:t>
      </w:r>
      <w:r>
        <w:rPr>
          <w:rFonts w:hint="eastAsia" w:cs="仿宋" w:asciiTheme="minorEastAsia" w:hAnsiTheme="minorEastAsia"/>
          <w:color w:val="auto"/>
          <w:sz w:val="24"/>
          <w:highlight w:val="none"/>
        </w:rPr>
        <w:t>响应文件报价函不一致的，以</w:t>
      </w:r>
      <w:r>
        <w:rPr>
          <w:rFonts w:hint="eastAsia" w:cs="仿宋" w:asciiTheme="minorEastAsia" w:hAnsiTheme="minorEastAsia"/>
          <w:color w:val="auto"/>
          <w:sz w:val="24"/>
          <w:highlight w:val="none"/>
          <w:lang w:val="en-US" w:eastAsia="zh-CN"/>
        </w:rPr>
        <w:t>电子</w:t>
      </w:r>
      <w:r>
        <w:rPr>
          <w:rFonts w:hint="eastAsia" w:cs="仿宋" w:asciiTheme="minorEastAsia" w:hAnsiTheme="minorEastAsia"/>
          <w:color w:val="auto"/>
          <w:sz w:val="24"/>
          <w:highlight w:val="none"/>
        </w:rPr>
        <w:t>报价函为准；</w:t>
      </w:r>
    </w:p>
    <w:p w14:paraId="6C937E11">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2"/>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rPr>
          <w:rFonts w:ascii="宋体" w:hAnsi="宋体" w:cs="宋体"/>
          <w:color w:val="auto"/>
          <w:sz w:val="24"/>
          <w:highlight w:val="none"/>
        </w:rPr>
      </w:pPr>
    </w:p>
    <w:p w14:paraId="00DD66D7">
      <w:pPr>
        <w:rPr>
          <w:color w:val="auto"/>
          <w:highlight w:val="none"/>
        </w:rPr>
      </w:pPr>
    </w:p>
    <w:p w14:paraId="1319085A">
      <w:pPr>
        <w:rPr>
          <w:color w:val="auto"/>
          <w:highlight w:val="none"/>
        </w:rPr>
      </w:pPr>
    </w:p>
    <w:p w14:paraId="38215788">
      <w:pPr>
        <w:rPr>
          <w:color w:val="auto"/>
          <w:highlight w:val="none"/>
        </w:rPr>
      </w:pPr>
    </w:p>
    <w:p w14:paraId="6805A370">
      <w:pPr>
        <w:rPr>
          <w:color w:val="auto"/>
          <w:highlight w:val="none"/>
        </w:rPr>
      </w:pPr>
    </w:p>
    <w:p w14:paraId="1E1E9C42">
      <w:pPr>
        <w:rPr>
          <w:color w:val="auto"/>
          <w:highlight w:val="none"/>
        </w:rPr>
      </w:pPr>
    </w:p>
    <w:p w14:paraId="0B337EDE">
      <w:pPr>
        <w:rPr>
          <w:color w:val="auto"/>
          <w:highlight w:val="none"/>
        </w:rPr>
      </w:pPr>
    </w:p>
    <w:p w14:paraId="18550BC0">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LJGS-2026-          </w:t>
      </w:r>
    </w:p>
    <w:p w14:paraId="69D98792">
      <w:pPr>
        <w:spacing w:line="480" w:lineRule="auto"/>
        <w:jc w:val="center"/>
        <w:rPr>
          <w:rFonts w:ascii="宋体" w:hAnsi="宋体" w:cs="宋体"/>
          <w:b/>
          <w:color w:val="auto"/>
          <w:sz w:val="28"/>
          <w:szCs w:val="28"/>
          <w:highlight w:val="none"/>
        </w:rPr>
      </w:pPr>
    </w:p>
    <w:p w14:paraId="0960DA30">
      <w:pPr>
        <w:spacing w:line="480" w:lineRule="auto"/>
        <w:jc w:val="center"/>
        <w:rPr>
          <w:rFonts w:ascii="宋体" w:hAnsi="宋体" w:cs="宋体"/>
          <w:b/>
          <w:color w:val="auto"/>
          <w:sz w:val="24"/>
          <w:highlight w:val="none"/>
        </w:rPr>
      </w:pPr>
    </w:p>
    <w:p w14:paraId="4CD54240">
      <w:pPr>
        <w:spacing w:line="480" w:lineRule="auto"/>
        <w:jc w:val="center"/>
        <w:rPr>
          <w:rFonts w:ascii="宋体" w:hAnsi="宋体" w:cs="宋体"/>
          <w:b/>
          <w:color w:val="auto"/>
          <w:sz w:val="24"/>
          <w:highlight w:val="none"/>
        </w:rPr>
      </w:pPr>
    </w:p>
    <w:p w14:paraId="30BB7EC6">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货物采购合同</w:t>
      </w:r>
    </w:p>
    <w:p w14:paraId="04650A2E">
      <w:pPr>
        <w:spacing w:before="120" w:line="22" w:lineRule="atLeast"/>
        <w:rPr>
          <w:rFonts w:ascii="宋体" w:hAnsi="宋体" w:cs="宋体"/>
          <w:color w:val="auto"/>
          <w:sz w:val="24"/>
          <w:highlight w:val="none"/>
        </w:rPr>
      </w:pPr>
    </w:p>
    <w:p w14:paraId="7E622267">
      <w:pPr>
        <w:pStyle w:val="4"/>
        <w:tabs>
          <w:tab w:val="left" w:pos="432"/>
        </w:tabs>
        <w:rPr>
          <w:color w:val="auto"/>
          <w:highlight w:val="none"/>
        </w:rPr>
      </w:pPr>
      <w:r>
        <w:rPr>
          <w:rFonts w:hint="eastAsia"/>
          <w:color w:val="auto"/>
          <w:highlight w:val="none"/>
        </w:rPr>
        <w:t xml:space="preserve">              </w:t>
      </w:r>
    </w:p>
    <w:p w14:paraId="5D9AE211">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临江公司2026年-2027年平迪凯特料位开关采购项目</w:t>
      </w:r>
    </w:p>
    <w:p w14:paraId="79A823EF">
      <w:pPr>
        <w:rPr>
          <w:rFonts w:ascii="宋体" w:hAnsi="宋体" w:cs="宋体"/>
          <w:color w:val="auto"/>
          <w:sz w:val="24"/>
          <w:highlight w:val="none"/>
        </w:rPr>
      </w:pPr>
    </w:p>
    <w:p w14:paraId="5324469F">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    方：</w:t>
      </w:r>
      <w:r>
        <w:rPr>
          <w:rFonts w:hint="eastAsia" w:ascii="宋体" w:hAnsi="宋体" w:cs="宋体"/>
          <w:color w:val="auto"/>
          <w:sz w:val="24"/>
          <w:highlight w:val="none"/>
          <w:u w:val="single"/>
        </w:rPr>
        <w:t xml:space="preserve">  杭州临江环境能源有限公司         </w:t>
      </w:r>
    </w:p>
    <w:p w14:paraId="482D06C3">
      <w:pPr>
        <w:spacing w:before="120" w:line="22" w:lineRule="atLeast"/>
        <w:rPr>
          <w:rFonts w:ascii="宋体" w:hAnsi="宋体" w:cs="宋体"/>
          <w:color w:val="auto"/>
          <w:sz w:val="24"/>
          <w:highlight w:val="none"/>
        </w:rPr>
      </w:pPr>
    </w:p>
    <w:p w14:paraId="1A634195">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    方：</w:t>
      </w:r>
      <w:r>
        <w:rPr>
          <w:rFonts w:hint="eastAsia" w:ascii="宋体" w:hAnsi="宋体" w:cs="宋体"/>
          <w:color w:val="auto"/>
          <w:sz w:val="24"/>
          <w:highlight w:val="none"/>
          <w:u w:val="single"/>
        </w:rPr>
        <w:t xml:space="preserve">   ***有限公司                      </w:t>
      </w:r>
    </w:p>
    <w:p w14:paraId="130AD8E4">
      <w:pPr>
        <w:spacing w:before="120" w:line="22" w:lineRule="atLeast"/>
        <w:rPr>
          <w:rFonts w:ascii="宋体" w:hAnsi="宋体" w:cs="宋体"/>
          <w:color w:val="auto"/>
          <w:sz w:val="24"/>
          <w:highlight w:val="none"/>
        </w:rPr>
      </w:pPr>
    </w:p>
    <w:p w14:paraId="563AB5D5">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浙江省杭州市钱塘区                </w:t>
      </w:r>
    </w:p>
    <w:p w14:paraId="1F1F282F">
      <w:pPr>
        <w:spacing w:before="120" w:line="22" w:lineRule="atLeast"/>
        <w:rPr>
          <w:rFonts w:ascii="宋体" w:hAnsi="宋体" w:cs="宋体"/>
          <w:color w:val="auto"/>
          <w:sz w:val="24"/>
          <w:highlight w:val="none"/>
        </w:rPr>
      </w:pPr>
    </w:p>
    <w:p w14:paraId="16230723">
      <w:pPr>
        <w:spacing w:before="120" w:line="22" w:lineRule="atLeast"/>
        <w:ind w:firstLine="960" w:firstLineChars="400"/>
        <w:rPr>
          <w:rFonts w:ascii="宋体" w:hAnsi="宋体" w:cs="宋体"/>
          <w:color w:val="auto"/>
          <w:kern w:val="0"/>
          <w:sz w:val="24"/>
          <w:highlight w:val="none"/>
        </w:rPr>
        <w:sectPr>
          <w:headerReference r:id="rId16" w:type="default"/>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EA00E88">
      <w:pPr>
        <w:pStyle w:val="26"/>
        <w:ind w:left="0" w:leftChars="0" w:firstLine="0" w:firstLineChars="0"/>
        <w:jc w:val="center"/>
        <w:rPr>
          <w:rFonts w:ascii="宋体" w:hAnsi="宋体"/>
          <w:color w:val="auto"/>
          <w:highlight w:val="none"/>
          <w:u w:val="single"/>
          <w:lang w:val="zh-CN"/>
        </w:rPr>
      </w:pPr>
      <w:r>
        <w:rPr>
          <w:rFonts w:hint="eastAsia" w:ascii="宋体" w:hAnsi="宋体" w:cs="宋体"/>
          <w:b/>
          <w:color w:val="auto"/>
          <w:szCs w:val="24"/>
          <w:highlight w:val="none"/>
        </w:rPr>
        <w:t xml:space="preserve"> 合同书</w:t>
      </w:r>
    </w:p>
    <w:p w14:paraId="4120C7FD">
      <w:pPr>
        <w:spacing w:line="360" w:lineRule="auto"/>
        <w:ind w:firstLine="480" w:firstLineChars="200"/>
        <w:rPr>
          <w:rFonts w:ascii="宋体" w:hAnsi="宋体" w:cs="宋体"/>
          <w:color w:val="auto"/>
          <w:sz w:val="24"/>
          <w:highlight w:val="none"/>
        </w:rPr>
      </w:pPr>
      <w:bookmarkStart w:id="367" w:name="_Toc20421"/>
      <w:bookmarkStart w:id="368" w:name="_Toc22967"/>
      <w:bookmarkStart w:id="369" w:name="_Toc19273"/>
      <w:bookmarkStart w:id="370" w:name="_Toc28855"/>
      <w:bookmarkStart w:id="371" w:name="_Toc15367"/>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   杭州临江环境能源有限公司以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 xml:space="preserve">询价采购方式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临江公司2026年-2027年平迪凯特料位开关采购项目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评审</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为该项目中标或者成交供应商。现于中标或者成交通知书发出之日起30天内，按照采购文件等确定的事项签订本合同。</w:t>
      </w:r>
    </w:p>
    <w:p w14:paraId="24C9DD1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single"/>
        </w:rPr>
        <w:t xml:space="preserve">杭州临江环境能源有限公司 </w:t>
      </w:r>
      <w:r>
        <w:rPr>
          <w:rFonts w:hint="eastAsia" w:ascii="宋体" w:hAnsi="宋体" w:cs="宋体"/>
          <w:color w:val="auto"/>
          <w:sz w:val="24"/>
          <w:highlight w:val="none"/>
          <w:u w:val="single"/>
          <w:lang w:val="zh-CN"/>
        </w:rPr>
        <w:t>(以下简称：甲方)</w:t>
      </w:r>
      <w:r>
        <w:rPr>
          <w:rFonts w:hint="eastAsia" w:ascii="宋体" w:hAnsi="宋体" w:cs="宋体"/>
          <w:color w:val="auto"/>
          <w:sz w:val="24"/>
          <w:highlight w:val="none"/>
          <w:lang w:val="zh-CN"/>
        </w:rPr>
        <w:t>和</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val="zh-CN"/>
        </w:rPr>
        <w:t>(以下简称：乙方)</w:t>
      </w:r>
      <w:r>
        <w:rPr>
          <w:rFonts w:hint="eastAsia" w:ascii="宋体" w:hAnsi="宋体" w:cs="宋体"/>
          <w:color w:val="auto"/>
          <w:sz w:val="24"/>
          <w:highlight w:val="none"/>
          <w:lang w:val="zh-CN"/>
        </w:rPr>
        <w:t>协商一致，约定以下合同</w:t>
      </w:r>
      <w:r>
        <w:rPr>
          <w:rFonts w:hint="eastAsia" w:ascii="宋体" w:hAnsi="宋体" w:cs="宋体"/>
          <w:color w:val="auto"/>
          <w:sz w:val="24"/>
          <w:highlight w:val="none"/>
        </w:rPr>
        <w:t>条款，以兹共同遵守、全面履行。双方已就本合同（包括但不限于合同书、各附件）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14:paraId="45E3FF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bookmarkEnd w:id="367"/>
    <w:bookmarkEnd w:id="368"/>
    <w:bookmarkEnd w:id="369"/>
    <w:bookmarkEnd w:id="370"/>
    <w:bookmarkEnd w:id="371"/>
    <w:p w14:paraId="73587B65">
      <w:pPr>
        <w:spacing w:line="360" w:lineRule="auto"/>
        <w:ind w:firstLine="482" w:firstLineChars="200"/>
        <w:outlineLvl w:val="0"/>
        <w:rPr>
          <w:rFonts w:hint="eastAsia" w:ascii="宋体" w:hAnsi="宋体" w:cs="宋体"/>
          <w:b/>
          <w:color w:val="auto"/>
          <w:sz w:val="24"/>
          <w:highlight w:val="none"/>
        </w:rPr>
      </w:pPr>
      <w:bookmarkStart w:id="372" w:name="_Toc2232"/>
      <w:bookmarkStart w:id="373" w:name="_Toc24059"/>
      <w:bookmarkStart w:id="374" w:name="_Toc3029"/>
      <w:r>
        <w:rPr>
          <w:rFonts w:hint="eastAsia" w:ascii="宋体" w:hAnsi="宋体" w:cs="宋体"/>
          <w:b/>
          <w:color w:val="auto"/>
          <w:sz w:val="24"/>
          <w:highlight w:val="none"/>
        </w:rPr>
        <w:t>一、合同组成部分</w:t>
      </w:r>
      <w:bookmarkEnd w:id="372"/>
      <w:bookmarkEnd w:id="373"/>
      <w:bookmarkEnd w:id="374"/>
    </w:p>
    <w:p w14:paraId="1269841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227018B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本合同及其补充合同、变更协议；</w:t>
      </w:r>
    </w:p>
    <w:p w14:paraId="29671C8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2.中标或者成交通知书；</w:t>
      </w:r>
    </w:p>
    <w:p w14:paraId="7CA82F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5E1B3C4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4.采购文件（含澄清或者修改文件）；</w:t>
      </w:r>
    </w:p>
    <w:p w14:paraId="0AC33B2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其他相关采购文件。</w:t>
      </w:r>
    </w:p>
    <w:p w14:paraId="42FC645F">
      <w:pPr>
        <w:spacing w:line="360" w:lineRule="auto"/>
        <w:ind w:firstLine="482" w:firstLineChars="200"/>
        <w:outlineLvl w:val="0"/>
        <w:rPr>
          <w:rFonts w:hint="eastAsia" w:ascii="宋体" w:hAnsi="宋体" w:cs="宋体"/>
          <w:color w:val="auto"/>
          <w:sz w:val="24"/>
          <w:highlight w:val="none"/>
        </w:rPr>
      </w:pPr>
      <w:bookmarkStart w:id="375" w:name="_Toc21295"/>
      <w:bookmarkStart w:id="376" w:name="_Toc24300"/>
      <w:bookmarkStart w:id="377" w:name="_Toc27126"/>
      <w:r>
        <w:rPr>
          <w:rFonts w:hint="eastAsia" w:ascii="宋体" w:hAnsi="宋体" w:cs="宋体"/>
          <w:b/>
          <w:color w:val="auto"/>
          <w:sz w:val="24"/>
          <w:highlight w:val="none"/>
        </w:rPr>
        <w:t xml:space="preserve">二、 </w:t>
      </w:r>
      <w:bookmarkEnd w:id="375"/>
      <w:bookmarkEnd w:id="376"/>
      <w:bookmarkEnd w:id="377"/>
      <w:r>
        <w:rPr>
          <w:rFonts w:hint="eastAsia" w:ascii="宋体" w:hAnsi="宋体" w:cs="宋体"/>
          <w:b/>
          <w:color w:val="auto"/>
          <w:sz w:val="24"/>
          <w:highlight w:val="none"/>
        </w:rPr>
        <w:t>合同价款</w:t>
      </w:r>
    </w:p>
    <w:p w14:paraId="018540B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r>
        <w:rPr>
          <w:rFonts w:hint="eastAsia" w:ascii="宋体" w:hAnsi="宋体" w:cs="宋体"/>
          <w:color w:val="auto"/>
          <w:sz w:val="24"/>
          <w:highlight w:val="none"/>
        </w:rPr>
        <w:t>单价和总价均包括但不限于货款、包装费、运输费及运输保险费（如有）、装卸费、售后服务费及税费等全部费用，在合同履行有效期内，合同价格不作调整。</w:t>
      </w:r>
    </w:p>
    <w:p w14:paraId="35444A4F">
      <w:pPr>
        <w:pStyle w:val="27"/>
        <w:spacing w:before="0" w:beforeAutospacing="0" w:after="0" w:afterAutospacing="0" w:line="360" w:lineRule="auto"/>
        <w:ind w:firstLine="480"/>
        <w:rPr>
          <w:rFonts w:hint="eastAsia"/>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54104A3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3.货物名称、品牌、规格型号如下：</w:t>
      </w:r>
    </w:p>
    <w:p w14:paraId="6394C021">
      <w:pPr>
        <w:pStyle w:val="2"/>
        <w:rPr>
          <w:rFonts w:hint="eastAsia" w:ascii="宋体" w:hAnsi="宋体" w:cs="宋体"/>
          <w:color w:val="auto"/>
          <w:sz w:val="24"/>
          <w:highlight w:val="none"/>
        </w:rPr>
      </w:pPr>
    </w:p>
    <w:tbl>
      <w:tblPr>
        <w:tblStyle w:val="17"/>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34"/>
        <w:gridCol w:w="1136"/>
        <w:gridCol w:w="1153"/>
        <w:gridCol w:w="3284"/>
        <w:gridCol w:w="648"/>
        <w:gridCol w:w="742"/>
        <w:gridCol w:w="561"/>
        <w:gridCol w:w="561"/>
      </w:tblGrid>
      <w:tr w14:paraId="172925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3" w:hRule="atLeast"/>
        </w:trPr>
        <w:tc>
          <w:tcPr>
            <w:tcW w:w="255" w:type="pct"/>
            <w:tcBorders>
              <w:tl2br w:val="nil"/>
              <w:tr2bl w:val="nil"/>
            </w:tcBorders>
            <w:shd w:val="clear" w:color="auto" w:fill="auto"/>
            <w:vAlign w:val="center"/>
          </w:tcPr>
          <w:p w14:paraId="390B2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66" w:type="pct"/>
            <w:tcBorders>
              <w:tl2br w:val="nil"/>
              <w:tr2bl w:val="nil"/>
            </w:tcBorders>
            <w:shd w:val="clear" w:color="auto" w:fill="auto"/>
            <w:vAlign w:val="center"/>
          </w:tcPr>
          <w:p w14:paraId="1F603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物资/服务名称</w:t>
            </w:r>
          </w:p>
        </w:tc>
        <w:tc>
          <w:tcPr>
            <w:tcW w:w="676" w:type="pct"/>
            <w:tcBorders>
              <w:tl2br w:val="nil"/>
              <w:tr2bl w:val="nil"/>
            </w:tcBorders>
            <w:shd w:val="clear" w:color="auto" w:fill="auto"/>
            <w:vAlign w:val="center"/>
          </w:tcPr>
          <w:p w14:paraId="38515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926" w:type="pct"/>
            <w:tcBorders>
              <w:tl2br w:val="nil"/>
              <w:tr2bl w:val="nil"/>
            </w:tcBorders>
            <w:shd w:val="clear" w:color="auto" w:fill="auto"/>
            <w:vAlign w:val="center"/>
          </w:tcPr>
          <w:p w14:paraId="6C8B1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380" w:type="pct"/>
            <w:tcBorders>
              <w:tl2br w:val="nil"/>
              <w:tr2bl w:val="nil"/>
            </w:tcBorders>
            <w:shd w:val="clear" w:color="auto" w:fill="auto"/>
            <w:vAlign w:val="center"/>
          </w:tcPr>
          <w:p w14:paraId="13A52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35" w:type="pct"/>
            <w:tcBorders>
              <w:tl2br w:val="nil"/>
              <w:tr2bl w:val="nil"/>
            </w:tcBorders>
            <w:shd w:val="clear" w:color="auto" w:fill="auto"/>
            <w:vAlign w:val="center"/>
          </w:tcPr>
          <w:p w14:paraId="510D4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329" w:type="pct"/>
            <w:tcBorders>
              <w:tl2br w:val="nil"/>
              <w:tr2bl w:val="nil"/>
            </w:tcBorders>
            <w:shd w:val="clear" w:color="auto" w:fill="auto"/>
            <w:vAlign w:val="center"/>
          </w:tcPr>
          <w:p w14:paraId="49C22C6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329" w:type="pct"/>
            <w:tcBorders>
              <w:tl2br w:val="nil"/>
              <w:tr2bl w:val="nil"/>
            </w:tcBorders>
            <w:shd w:val="clear" w:color="auto" w:fill="auto"/>
            <w:vAlign w:val="center"/>
          </w:tcPr>
          <w:p w14:paraId="69868D0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r>
      <w:tr w14:paraId="61897A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3" w:hRule="atLeast"/>
        </w:trPr>
        <w:tc>
          <w:tcPr>
            <w:tcW w:w="255" w:type="pct"/>
            <w:tcBorders>
              <w:tl2br w:val="nil"/>
              <w:tr2bl w:val="nil"/>
            </w:tcBorders>
            <w:shd w:val="clear" w:color="auto" w:fill="auto"/>
            <w:vAlign w:val="center"/>
          </w:tcPr>
          <w:p w14:paraId="24922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6" w:type="pct"/>
            <w:tcBorders>
              <w:tl2br w:val="nil"/>
              <w:tr2bl w:val="nil"/>
            </w:tcBorders>
            <w:shd w:val="clear" w:color="auto" w:fill="auto"/>
            <w:vAlign w:val="center"/>
          </w:tcPr>
          <w:p w14:paraId="0E974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阻旋式料位开关</w:t>
            </w:r>
          </w:p>
        </w:tc>
        <w:tc>
          <w:tcPr>
            <w:tcW w:w="676" w:type="pct"/>
            <w:tcBorders>
              <w:tl2br w:val="nil"/>
              <w:tr2bl w:val="nil"/>
            </w:tcBorders>
            <w:shd w:val="clear" w:color="auto" w:fill="auto"/>
            <w:vAlign w:val="center"/>
          </w:tcPr>
          <w:p w14:paraId="08FE5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Bindicator(平迪凯特)</w:t>
            </w:r>
          </w:p>
        </w:tc>
        <w:tc>
          <w:tcPr>
            <w:tcW w:w="1926" w:type="pct"/>
            <w:tcBorders>
              <w:tl2br w:val="nil"/>
              <w:tr2bl w:val="nil"/>
            </w:tcBorders>
            <w:shd w:val="clear" w:color="auto" w:fill="auto"/>
            <w:vAlign w:val="center"/>
          </w:tcPr>
          <w:p w14:paraId="1C552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型号：PRGZ3-Y3A04G 24VDC L=550mm，IP67，R1 1/2"螺纹，普通型</w:t>
            </w:r>
          </w:p>
        </w:tc>
        <w:tc>
          <w:tcPr>
            <w:tcW w:w="380" w:type="pct"/>
            <w:tcBorders>
              <w:tl2br w:val="nil"/>
              <w:tr2bl w:val="nil"/>
            </w:tcBorders>
            <w:shd w:val="clear" w:color="auto" w:fill="auto"/>
            <w:vAlign w:val="center"/>
          </w:tcPr>
          <w:p w14:paraId="2492A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35" w:type="pct"/>
            <w:tcBorders>
              <w:tl2br w:val="nil"/>
              <w:tr2bl w:val="nil"/>
            </w:tcBorders>
            <w:shd w:val="clear" w:color="auto" w:fill="auto"/>
            <w:vAlign w:val="center"/>
          </w:tcPr>
          <w:p w14:paraId="501AC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29" w:type="pct"/>
            <w:tcBorders>
              <w:tl2br w:val="nil"/>
              <w:tr2bl w:val="nil"/>
            </w:tcBorders>
            <w:shd w:val="clear" w:color="auto" w:fill="auto"/>
            <w:vAlign w:val="center"/>
          </w:tcPr>
          <w:p w14:paraId="47ABE3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9" w:type="pct"/>
            <w:tcBorders>
              <w:tl2br w:val="nil"/>
              <w:tr2bl w:val="nil"/>
            </w:tcBorders>
            <w:shd w:val="clear" w:color="auto" w:fill="auto"/>
            <w:vAlign w:val="center"/>
          </w:tcPr>
          <w:p w14:paraId="20D879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B49F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3" w:hRule="atLeast"/>
        </w:trPr>
        <w:tc>
          <w:tcPr>
            <w:tcW w:w="255" w:type="pct"/>
            <w:tcBorders>
              <w:tl2br w:val="nil"/>
              <w:tr2bl w:val="nil"/>
            </w:tcBorders>
            <w:shd w:val="clear" w:color="auto" w:fill="auto"/>
            <w:vAlign w:val="center"/>
          </w:tcPr>
          <w:p w14:paraId="30BB1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6" w:type="pct"/>
            <w:tcBorders>
              <w:tl2br w:val="nil"/>
              <w:tr2bl w:val="nil"/>
            </w:tcBorders>
            <w:shd w:val="clear" w:color="auto" w:fill="auto"/>
            <w:vAlign w:val="center"/>
          </w:tcPr>
          <w:p w14:paraId="0D903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阻旋式料位开关</w:t>
            </w:r>
          </w:p>
        </w:tc>
        <w:tc>
          <w:tcPr>
            <w:tcW w:w="676" w:type="pct"/>
            <w:tcBorders>
              <w:tl2br w:val="nil"/>
              <w:tr2bl w:val="nil"/>
            </w:tcBorders>
            <w:shd w:val="clear" w:color="auto" w:fill="auto"/>
            <w:vAlign w:val="center"/>
          </w:tcPr>
          <w:p w14:paraId="3654A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Bindicator(平迪凯特)</w:t>
            </w:r>
          </w:p>
        </w:tc>
        <w:tc>
          <w:tcPr>
            <w:tcW w:w="1926" w:type="pct"/>
            <w:tcBorders>
              <w:tl2br w:val="nil"/>
              <w:tr2bl w:val="nil"/>
            </w:tcBorders>
            <w:shd w:val="clear" w:color="auto" w:fill="auto"/>
            <w:vAlign w:val="center"/>
          </w:tcPr>
          <w:p w14:paraId="1691B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型号：PRGZ3-Y3A0B4 24VDC L=400mm，IP67，R1 1/2"螺纹，普通型</w:t>
            </w:r>
          </w:p>
        </w:tc>
        <w:tc>
          <w:tcPr>
            <w:tcW w:w="380" w:type="pct"/>
            <w:tcBorders>
              <w:tl2br w:val="nil"/>
              <w:tr2bl w:val="nil"/>
            </w:tcBorders>
            <w:shd w:val="clear" w:color="auto" w:fill="auto"/>
            <w:vAlign w:val="center"/>
          </w:tcPr>
          <w:p w14:paraId="06F7D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35" w:type="pct"/>
            <w:tcBorders>
              <w:tl2br w:val="nil"/>
              <w:tr2bl w:val="nil"/>
            </w:tcBorders>
            <w:shd w:val="clear" w:color="auto" w:fill="auto"/>
            <w:vAlign w:val="center"/>
          </w:tcPr>
          <w:p w14:paraId="780E8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29" w:type="pct"/>
            <w:tcBorders>
              <w:tl2br w:val="nil"/>
              <w:tr2bl w:val="nil"/>
            </w:tcBorders>
            <w:shd w:val="clear" w:color="auto" w:fill="auto"/>
            <w:vAlign w:val="center"/>
          </w:tcPr>
          <w:p w14:paraId="32CFFB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9" w:type="pct"/>
            <w:tcBorders>
              <w:tl2br w:val="nil"/>
              <w:tr2bl w:val="nil"/>
            </w:tcBorders>
            <w:shd w:val="clear" w:color="auto" w:fill="auto"/>
            <w:vAlign w:val="center"/>
          </w:tcPr>
          <w:p w14:paraId="6536EB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18D4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3" w:hRule="atLeast"/>
        </w:trPr>
        <w:tc>
          <w:tcPr>
            <w:tcW w:w="255" w:type="pct"/>
            <w:tcBorders>
              <w:tl2br w:val="nil"/>
              <w:tr2bl w:val="nil"/>
            </w:tcBorders>
            <w:shd w:val="clear" w:color="auto" w:fill="auto"/>
            <w:vAlign w:val="center"/>
          </w:tcPr>
          <w:p w14:paraId="7F48E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66" w:type="pct"/>
            <w:tcBorders>
              <w:tl2br w:val="nil"/>
              <w:tr2bl w:val="nil"/>
            </w:tcBorders>
            <w:shd w:val="clear" w:color="auto" w:fill="auto"/>
            <w:vAlign w:val="center"/>
          </w:tcPr>
          <w:p w14:paraId="78B5D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音叉液位开关</w:t>
            </w:r>
          </w:p>
        </w:tc>
        <w:tc>
          <w:tcPr>
            <w:tcW w:w="676" w:type="pct"/>
            <w:tcBorders>
              <w:tl2br w:val="nil"/>
              <w:tr2bl w:val="nil"/>
            </w:tcBorders>
            <w:shd w:val="clear" w:color="auto" w:fill="auto"/>
            <w:vAlign w:val="center"/>
          </w:tcPr>
          <w:p w14:paraId="5A6D0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Bindicator(平迪凯特)</w:t>
            </w:r>
          </w:p>
        </w:tc>
        <w:tc>
          <w:tcPr>
            <w:tcW w:w="1926" w:type="pct"/>
            <w:tcBorders>
              <w:tl2br w:val="nil"/>
              <w:tr2bl w:val="nil"/>
            </w:tcBorders>
            <w:shd w:val="clear" w:color="auto" w:fill="auto"/>
            <w:vAlign w:val="center"/>
          </w:tcPr>
          <w:p w14:paraId="0A227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型号：Bindico-RnA1MTMR21L-400，220V，DN80法兰型</w:t>
            </w:r>
          </w:p>
        </w:tc>
        <w:tc>
          <w:tcPr>
            <w:tcW w:w="380" w:type="pct"/>
            <w:tcBorders>
              <w:tl2br w:val="nil"/>
              <w:tr2bl w:val="nil"/>
            </w:tcBorders>
            <w:shd w:val="clear" w:color="auto" w:fill="auto"/>
            <w:vAlign w:val="center"/>
          </w:tcPr>
          <w:p w14:paraId="4AD18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35" w:type="pct"/>
            <w:tcBorders>
              <w:tl2br w:val="nil"/>
              <w:tr2bl w:val="nil"/>
            </w:tcBorders>
            <w:shd w:val="clear" w:color="auto" w:fill="auto"/>
            <w:vAlign w:val="center"/>
          </w:tcPr>
          <w:p w14:paraId="7AE78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9" w:type="pct"/>
            <w:tcBorders>
              <w:tl2br w:val="nil"/>
              <w:tr2bl w:val="nil"/>
            </w:tcBorders>
            <w:shd w:val="clear" w:color="auto" w:fill="auto"/>
            <w:vAlign w:val="center"/>
          </w:tcPr>
          <w:p w14:paraId="40EE63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9" w:type="pct"/>
            <w:tcBorders>
              <w:tl2br w:val="nil"/>
              <w:tr2bl w:val="nil"/>
            </w:tcBorders>
            <w:shd w:val="clear" w:color="auto" w:fill="auto"/>
            <w:vAlign w:val="center"/>
          </w:tcPr>
          <w:p w14:paraId="7222A1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3CFE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3" w:hRule="atLeast"/>
        </w:trPr>
        <w:tc>
          <w:tcPr>
            <w:tcW w:w="255" w:type="pct"/>
            <w:tcBorders>
              <w:tl2br w:val="nil"/>
              <w:tr2bl w:val="nil"/>
            </w:tcBorders>
            <w:shd w:val="clear" w:color="auto" w:fill="auto"/>
            <w:vAlign w:val="center"/>
          </w:tcPr>
          <w:p w14:paraId="69CB1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6" w:type="pct"/>
            <w:tcBorders>
              <w:tl2br w:val="nil"/>
              <w:tr2bl w:val="nil"/>
            </w:tcBorders>
            <w:shd w:val="clear" w:color="auto" w:fill="auto"/>
            <w:vAlign w:val="center"/>
          </w:tcPr>
          <w:p w14:paraId="5A4D9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阻旋式料位开关</w:t>
            </w:r>
          </w:p>
        </w:tc>
        <w:tc>
          <w:tcPr>
            <w:tcW w:w="676" w:type="pct"/>
            <w:tcBorders>
              <w:tl2br w:val="nil"/>
              <w:tr2bl w:val="nil"/>
            </w:tcBorders>
            <w:shd w:val="clear" w:color="auto" w:fill="auto"/>
            <w:vAlign w:val="center"/>
          </w:tcPr>
          <w:p w14:paraId="76895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Bindicator(平迪凯特)</w:t>
            </w:r>
          </w:p>
        </w:tc>
        <w:tc>
          <w:tcPr>
            <w:tcW w:w="1926" w:type="pct"/>
            <w:tcBorders>
              <w:tl2br w:val="nil"/>
              <w:tr2bl w:val="nil"/>
            </w:tcBorders>
            <w:shd w:val="clear" w:color="auto" w:fill="auto"/>
            <w:vAlign w:val="center"/>
          </w:tcPr>
          <w:p w14:paraId="342B6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型号：PRXZ3-Y3A0B4 24VDC， L=400mm，IP67，防爆型</w:t>
            </w:r>
          </w:p>
        </w:tc>
        <w:tc>
          <w:tcPr>
            <w:tcW w:w="380" w:type="pct"/>
            <w:tcBorders>
              <w:tl2br w:val="nil"/>
              <w:tr2bl w:val="nil"/>
            </w:tcBorders>
            <w:shd w:val="clear" w:color="auto" w:fill="auto"/>
            <w:vAlign w:val="center"/>
          </w:tcPr>
          <w:p w14:paraId="31384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35" w:type="pct"/>
            <w:tcBorders>
              <w:tl2br w:val="nil"/>
              <w:tr2bl w:val="nil"/>
            </w:tcBorders>
            <w:shd w:val="clear" w:color="auto" w:fill="auto"/>
            <w:vAlign w:val="center"/>
          </w:tcPr>
          <w:p w14:paraId="41FB4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9" w:type="pct"/>
            <w:tcBorders>
              <w:tl2br w:val="nil"/>
              <w:tr2bl w:val="nil"/>
            </w:tcBorders>
            <w:shd w:val="clear" w:color="auto" w:fill="auto"/>
            <w:vAlign w:val="center"/>
          </w:tcPr>
          <w:p w14:paraId="6346EC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9" w:type="pct"/>
            <w:tcBorders>
              <w:tl2br w:val="nil"/>
              <w:tr2bl w:val="nil"/>
            </w:tcBorders>
            <w:shd w:val="clear" w:color="auto" w:fill="auto"/>
            <w:vAlign w:val="center"/>
          </w:tcPr>
          <w:p w14:paraId="25E2F1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5DC60B35">
      <w:pPr>
        <w:spacing w:line="360" w:lineRule="auto"/>
        <w:ind w:firstLine="480" w:firstLineChars="200"/>
        <w:rPr>
          <w:rFonts w:hint="eastAsia" w:ascii="宋体" w:hAnsi="宋体" w:cs="宋体"/>
          <w:color w:val="auto"/>
          <w:sz w:val="24"/>
          <w:highlight w:val="none"/>
        </w:rPr>
      </w:pPr>
    </w:p>
    <w:p w14:paraId="003C94CC">
      <w:pPr>
        <w:spacing w:line="360" w:lineRule="auto"/>
        <w:ind w:firstLine="480" w:firstLineChars="200"/>
        <w:rPr>
          <w:rFonts w:hint="eastAsia" w:ascii="宋体" w:hAnsi="宋体" w:cs="宋体"/>
          <w:color w:val="auto"/>
          <w:sz w:val="24"/>
          <w:highlight w:val="none"/>
        </w:rPr>
      </w:pPr>
    </w:p>
    <w:p w14:paraId="2AEFD72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：按需供货，按实结算；合同清单数量仅为甲方暂定数量，乙方须按照甲方的采购订单数量供货。</w:t>
      </w:r>
    </w:p>
    <w:p w14:paraId="19B8CC70">
      <w:pPr>
        <w:pStyle w:val="27"/>
        <w:spacing w:before="0" w:beforeAutospacing="0" w:after="0" w:afterAutospacing="0" w:line="360" w:lineRule="auto"/>
        <w:ind w:firstLine="480"/>
        <w:rPr>
          <w:rFonts w:hint="eastAsia"/>
          <w:b/>
          <w:color w:val="auto"/>
          <w:highlight w:val="none"/>
        </w:rPr>
      </w:pPr>
      <w:bookmarkStart w:id="378" w:name="_Toc22618"/>
      <w:bookmarkStart w:id="379" w:name="_Toc1814"/>
      <w:bookmarkStart w:id="380" w:name="_Toc10340"/>
      <w:r>
        <w:rPr>
          <w:rFonts w:hint="eastAsia"/>
          <w:b/>
          <w:color w:val="auto"/>
          <w:highlight w:val="none"/>
        </w:rPr>
        <w:t>三、合同期限、交付期限、地点和联系方式、交付方式</w:t>
      </w:r>
    </w:p>
    <w:p w14:paraId="41B658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1.合同期限：</w:t>
      </w:r>
    </w:p>
    <w:p w14:paraId="629BC1C4">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自合同签订后12个月自动结束。若甲方下达的采购订单在合同有效期内，到货时间超出了合同有效期，视为</w:t>
      </w:r>
      <w:r>
        <w:rPr>
          <w:rFonts w:hint="eastAsia" w:ascii="宋体" w:hAnsi="宋体" w:eastAsia="宋体" w:cs="宋体"/>
          <w:color w:val="auto"/>
          <w:sz w:val="24"/>
          <w:highlight w:val="none"/>
          <w:u w:val="single"/>
        </w:rPr>
        <w:t>满足合同期限要求</w:t>
      </w:r>
      <w:r>
        <w:rPr>
          <w:rFonts w:hint="eastAsia" w:ascii="宋体" w:hAnsi="宋体" w:cs="宋体"/>
          <w:color w:val="auto"/>
          <w:sz w:val="24"/>
          <w:highlight w:val="none"/>
          <w:u w:val="single"/>
        </w:rPr>
        <w:t>；</w:t>
      </w:r>
    </w:p>
    <w:p w14:paraId="5A2B23AF">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2.交付期限：乙方在收到甲方采购订单后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30天内</w:t>
      </w:r>
      <w:r>
        <w:rPr>
          <w:rFonts w:hint="eastAsia" w:ascii="宋体" w:hAnsi="宋体" w:cs="宋体"/>
          <w:color w:val="auto"/>
          <w:sz w:val="24"/>
          <w:highlight w:val="none"/>
        </w:rPr>
        <w:t>完成供货 ；若因进口问题导致期限</w:t>
      </w:r>
      <w:r>
        <w:rPr>
          <w:rFonts w:hint="eastAsia" w:ascii="宋体" w:hAnsi="宋体" w:cs="宋体"/>
          <w:color w:val="auto"/>
          <w:sz w:val="24"/>
          <w:highlight w:val="none"/>
          <w:lang w:eastAsia="zh-CN"/>
        </w:rPr>
        <w:t>超出</w:t>
      </w:r>
      <w:r>
        <w:rPr>
          <w:rFonts w:hint="eastAsia" w:ascii="宋体" w:hAnsi="宋体" w:cs="宋体"/>
          <w:color w:val="auto"/>
          <w:sz w:val="24"/>
          <w:highlight w:val="none"/>
        </w:rPr>
        <w:t>订单要求，双方另行协商。</w:t>
      </w:r>
    </w:p>
    <w:p w14:paraId="5EE71C45">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3.交付地点：浙江省杭州市钱塘区临江街道红十五路10388-123号，杭州临江环境能源有限公司厂区内甲方指定仓库；</w:t>
      </w:r>
    </w:p>
    <w:p w14:paraId="0C1B3433">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4.交付甲方联系人：按采购订单要求执行 ；</w:t>
      </w:r>
    </w:p>
    <w:p w14:paraId="0677DBAE">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0C8CB3B2">
      <w:pPr>
        <w:spacing w:line="360" w:lineRule="auto"/>
        <w:ind w:firstLine="480" w:firstLineChars="200"/>
        <w:rPr>
          <w:b/>
          <w:color w:val="auto"/>
          <w:highlight w:val="none"/>
        </w:rPr>
      </w:pPr>
      <w:r>
        <w:rPr>
          <w:rFonts w:hint="eastAsia" w:ascii="宋体" w:hAnsi="宋体" w:cs="宋体"/>
          <w:color w:val="auto"/>
          <w:sz w:val="24"/>
          <w:highlight w:val="none"/>
        </w:rPr>
        <w:t>6.交付方式：按采购订单要求执行。</w:t>
      </w:r>
    </w:p>
    <w:p w14:paraId="4CBED435">
      <w:pPr>
        <w:pStyle w:val="27"/>
        <w:spacing w:before="0" w:beforeAutospacing="0" w:after="0" w:afterAutospacing="0" w:line="360" w:lineRule="auto"/>
        <w:ind w:firstLine="480"/>
        <w:rPr>
          <w:rFonts w:hint="eastAsia"/>
          <w:b/>
          <w:color w:val="auto"/>
          <w:highlight w:val="none"/>
        </w:rPr>
      </w:pPr>
      <w:r>
        <w:rPr>
          <w:rFonts w:hint="eastAsia"/>
          <w:b/>
          <w:color w:val="auto"/>
          <w:highlight w:val="none"/>
        </w:rPr>
        <w:t>四、技术和质量要求</w:t>
      </w:r>
    </w:p>
    <w:p w14:paraId="025B4979">
      <w:pPr>
        <w:spacing w:line="360" w:lineRule="auto"/>
        <w:ind w:firstLine="480" w:firstLineChars="200"/>
        <w:outlineLvl w:val="0"/>
        <w:rPr>
          <w:rFonts w:hint="eastAsia" w:ascii="宋体" w:hAnsi="宋体" w:cs="宋体"/>
          <w:color w:val="auto"/>
          <w:sz w:val="24"/>
          <w:highlight w:val="none"/>
          <w:lang w:val="en-US" w:eastAsia="zh-CN"/>
        </w:rPr>
      </w:pPr>
      <w:bookmarkStart w:id="381" w:name="_Toc14563"/>
      <w:bookmarkStart w:id="382" w:name="_Toc1125"/>
      <w:bookmarkStart w:id="383" w:name="_Toc6596"/>
      <w:r>
        <w:rPr>
          <w:rFonts w:hint="eastAsia" w:ascii="宋体" w:hAnsi="Arial" w:cs="Arial" w:eastAsiaTheme="minorEastAsia"/>
          <w:snapToGrid w:val="0"/>
          <w:color w:val="auto"/>
          <w:kern w:val="2"/>
          <w:sz w:val="24"/>
          <w:szCs w:val="21"/>
          <w:highlight w:val="none"/>
          <w:lang w:val="en-US" w:eastAsia="zh-CN" w:bidi="ar-SA"/>
        </w:rPr>
        <w:t>1.乙方所供货物的品牌和型号等技术参数满足采购内容中的规格型号/技术要求，具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包括但不限于以下标准：</w:t>
      </w:r>
    </w:p>
    <w:p w14:paraId="05A2576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JB/T 8352-2013 《阻旋式料位器 技术条件》</w:t>
      </w:r>
    </w:p>
    <w:p w14:paraId="286BD43C">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JB/T 10961-2024 《料位开关》</w:t>
      </w:r>
    </w:p>
    <w:p w14:paraId="34054AB4">
      <w:pPr>
        <w:pStyle w:val="9"/>
        <w:rPr>
          <w:rFonts w:hint="eastAsia" w:ascii="宋体" w:hAnsi="宋体" w:cs="宋体"/>
          <w:color w:val="auto"/>
          <w:sz w:val="24"/>
          <w:highlight w:val="none"/>
          <w:lang w:val="en-US" w:eastAsia="zh-CN"/>
        </w:rPr>
      </w:pPr>
      <w:r>
        <w:rPr>
          <w:rFonts w:hint="eastAsia" w:ascii="宋体" w:hAnsi="Arial" w:cs="Arial" w:eastAsiaTheme="minorEastAsia"/>
          <w:snapToGrid w:val="0"/>
          <w:color w:val="auto"/>
          <w:kern w:val="2"/>
          <w:sz w:val="24"/>
          <w:szCs w:val="21"/>
          <w:highlight w:val="none"/>
          <w:lang w:val="en-US" w:eastAsia="zh-CN" w:bidi="ar-SA"/>
        </w:rPr>
        <w:t>2.乙方所供</w:t>
      </w:r>
      <w:r>
        <w:rPr>
          <w:rFonts w:hint="eastAsia" w:ascii="宋体" w:hAnsi="宋体" w:cs="宋体"/>
          <w:color w:val="auto"/>
          <w:sz w:val="24"/>
          <w:highlight w:val="none"/>
          <w:lang w:val="en-US" w:eastAsia="zh-CN"/>
        </w:rPr>
        <w:t>必须为BINDICATOR（平迪凯特）的合格正品，不得为假冒伪劣的产品，若有防伪标识，支持防伪查询。</w:t>
      </w:r>
    </w:p>
    <w:p w14:paraId="7EE1EB40">
      <w:pPr>
        <w:pStyle w:val="8"/>
        <w:ind w:firstLine="480" w:firstLineChars="200"/>
        <w:rPr>
          <w:rFonts w:hint="eastAsia" w:hAnsi="宋体" w:cs="宋体"/>
          <w:color w:val="auto"/>
          <w:highlight w:val="none"/>
        </w:rPr>
      </w:pPr>
      <w:r>
        <w:rPr>
          <w:rFonts w:hint="eastAsia"/>
          <w:color w:val="auto"/>
          <w:highlight w:val="none"/>
          <w:lang w:val="en-US"/>
        </w:rPr>
        <w:t>3.甲方提供的资料为初步资料仅供参考，乙方需前往甲方现场核对具体参数和要求。乙方提供货物须与甲方现场设备配套；若乙方提供货物与甲方现场设备不匹配，乙方须无条件免费整改至匹配现场原设备为止。</w:t>
      </w:r>
    </w:p>
    <w:p w14:paraId="315F3EF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u w:val="none"/>
        </w:rPr>
        <w:t>.</w:t>
      </w:r>
      <w:r>
        <w:rPr>
          <w:rFonts w:hint="eastAsia" w:ascii="宋体" w:hAnsi="宋体" w:cs="宋体"/>
          <w:color w:val="auto"/>
          <w:sz w:val="24"/>
          <w:highlight w:val="none"/>
        </w:rPr>
        <w:t>本合同质保期限</w:t>
      </w:r>
      <w:r>
        <w:rPr>
          <w:rFonts w:hint="eastAsia" w:ascii="宋体" w:hAnsi="宋体" w:cs="宋体"/>
          <w:color w:val="auto"/>
          <w:sz w:val="24"/>
          <w:highlight w:val="none"/>
          <w:lang w:eastAsia="zh-CN"/>
        </w:rPr>
        <w:t>为</w:t>
      </w:r>
      <w:r>
        <w:rPr>
          <w:rFonts w:hint="eastAsia" w:ascii="宋体" w:hAnsi="宋体" w:cs="宋体"/>
          <w:color w:val="auto"/>
          <w:sz w:val="24"/>
          <w:highlight w:val="none"/>
        </w:rPr>
        <w:t>验收合格后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rPr>
        <w:t>个月，若质保期限内出现问题，乙方必须在接到甲方通知后48小时内无条件赶到现场，免费进行维修。在质保期</w:t>
      </w:r>
      <w:r>
        <w:rPr>
          <w:rFonts w:hint="eastAsia" w:ascii="宋体" w:hAnsi="宋体" w:cs="宋体"/>
          <w:color w:val="auto"/>
          <w:sz w:val="24"/>
          <w:highlight w:val="none"/>
          <w:lang w:eastAsia="zh-CN"/>
        </w:rPr>
        <w:t>限内</w:t>
      </w:r>
      <w:r>
        <w:rPr>
          <w:rFonts w:hint="eastAsia" w:ascii="宋体" w:hAnsi="宋体" w:cs="宋体"/>
          <w:color w:val="auto"/>
          <w:sz w:val="24"/>
          <w:highlight w:val="none"/>
        </w:rPr>
        <w:t>未出现任何质量问题，视为质保合格。质保期限到期后，若未超出厂家三包政策的，乙方仍承担与厂家协调处理的质保责任，但不影响乙方的质保金支付。</w:t>
      </w:r>
    </w:p>
    <w:p w14:paraId="21BF7791">
      <w:pPr>
        <w:pStyle w:val="27"/>
        <w:spacing w:before="0" w:beforeAutospacing="0" w:after="0" w:afterAutospacing="0" w:line="360" w:lineRule="auto"/>
        <w:ind w:firstLine="480" w:firstLineChars="200"/>
        <w:rPr>
          <w:rFonts w:hint="eastAsia" w:eastAsia="宋体"/>
          <w:color w:val="auto"/>
          <w:highlight w:val="none"/>
        </w:rPr>
      </w:pPr>
      <w:r>
        <w:rPr>
          <w:rFonts w:hint="eastAsia" w:eastAsia="宋体"/>
          <w:color w:val="auto"/>
          <w:highlight w:val="none"/>
        </w:rPr>
        <w:t xml:space="preserve">本采购项目 </w:t>
      </w:r>
      <w:r>
        <w:rPr>
          <w:rFonts w:hint="eastAsia" w:eastAsia="宋体"/>
          <w:color w:val="auto"/>
          <w:highlight w:val="none"/>
          <w:u w:val="single"/>
        </w:rPr>
        <w:sym w:font="Wingdings" w:char="00FE"/>
      </w:r>
      <w:r>
        <w:rPr>
          <w:rFonts w:hint="eastAsia" w:eastAsia="宋体"/>
          <w:color w:val="auto"/>
          <w:highlight w:val="none"/>
          <w:u w:val="single"/>
        </w:rPr>
        <w:t xml:space="preserve">是 </w:t>
      </w:r>
      <w:r>
        <w:rPr>
          <w:rFonts w:hint="eastAsia" w:eastAsia="宋体"/>
          <w:color w:val="auto"/>
          <w:highlight w:val="none"/>
          <w:u w:val="single"/>
        </w:rPr>
        <w:sym w:font="Wingdings" w:char="00A8"/>
      </w:r>
      <w:r>
        <w:rPr>
          <w:rFonts w:hint="eastAsia" w:eastAsia="宋体"/>
          <w:color w:val="auto"/>
          <w:highlight w:val="none"/>
          <w:u w:val="single"/>
        </w:rPr>
        <w:t xml:space="preserve">否 </w:t>
      </w:r>
      <w:r>
        <w:rPr>
          <w:rFonts w:hint="eastAsia" w:eastAsia="宋体"/>
          <w:color w:val="auto"/>
          <w:highlight w:val="none"/>
        </w:rPr>
        <w:t>有质保金。若有质保金的，</w:t>
      </w:r>
      <w:r>
        <w:rPr>
          <w:rFonts w:hint="eastAsia" w:eastAsia="宋体"/>
          <w:color w:val="auto"/>
          <w:highlight w:val="none"/>
          <w:lang w:eastAsia="zh-CN"/>
        </w:rPr>
        <w:t>采用</w:t>
      </w:r>
      <w:r>
        <w:rPr>
          <w:rFonts w:hint="eastAsia" w:eastAsia="宋体"/>
          <w:color w:val="auto"/>
          <w:highlight w:val="none"/>
        </w:rPr>
        <w:t>以下第</w:t>
      </w:r>
      <w:r>
        <w:rPr>
          <w:rFonts w:hint="eastAsia" w:eastAsia="宋体"/>
          <w:color w:val="auto"/>
          <w:highlight w:val="none"/>
          <w:u w:val="single"/>
        </w:rPr>
        <w:t>（</w:t>
      </w:r>
      <w:r>
        <w:rPr>
          <w:rFonts w:hint="eastAsia" w:eastAsia="宋体"/>
          <w:color w:val="auto"/>
          <w:highlight w:val="none"/>
          <w:u w:val="single"/>
          <w:lang w:val="en-US" w:eastAsia="zh-CN"/>
        </w:rPr>
        <w:t>1</w:t>
      </w:r>
      <w:r>
        <w:rPr>
          <w:rFonts w:hint="eastAsia" w:eastAsia="宋体"/>
          <w:color w:val="auto"/>
          <w:highlight w:val="none"/>
          <w:u w:val="single"/>
        </w:rPr>
        <w:t>）</w:t>
      </w:r>
      <w:r>
        <w:rPr>
          <w:rFonts w:hint="eastAsia" w:eastAsia="宋体"/>
          <w:color w:val="auto"/>
          <w:highlight w:val="none"/>
        </w:rPr>
        <w:t>形式执行：</w:t>
      </w:r>
    </w:p>
    <w:p w14:paraId="3DEF7B5E">
      <w:pPr>
        <w:pStyle w:val="27"/>
        <w:spacing w:before="0" w:beforeAutospacing="0" w:after="0" w:afterAutospacing="0" w:line="360" w:lineRule="auto"/>
        <w:ind w:firstLine="480" w:firstLineChars="200"/>
        <w:rPr>
          <w:rFonts w:hint="eastAsia" w:eastAsia="宋体"/>
          <w:color w:val="auto"/>
          <w:highlight w:val="none"/>
        </w:rPr>
      </w:pPr>
      <w:r>
        <w:rPr>
          <w:rFonts w:hint="eastAsia" w:eastAsia="宋体"/>
          <w:color w:val="auto"/>
          <w:highlight w:val="none"/>
        </w:rPr>
        <w:t>第（1）形式：合同履约保证金已包含质保金，甲方不再另外收取质保金。</w:t>
      </w:r>
    </w:p>
    <w:p w14:paraId="56915B46">
      <w:pPr>
        <w:spacing w:line="360" w:lineRule="auto"/>
        <w:ind w:firstLine="480" w:firstLineChars="200"/>
        <w:outlineLvl w:val="0"/>
        <w:rPr>
          <w:rFonts w:hint="eastAsia" w:ascii="宋体" w:hAnsi="宋体" w:cs="宋体"/>
          <w:b w:val="0"/>
          <w:bCs/>
          <w:color w:val="auto"/>
          <w:sz w:val="24"/>
          <w:highlight w:val="none"/>
        </w:rPr>
      </w:pPr>
      <w:r>
        <w:rPr>
          <w:rFonts w:hint="eastAsia" w:ascii="宋体" w:hAnsi="宋体" w:cs="宋体"/>
          <w:bCs/>
          <w:color w:val="auto"/>
          <w:sz w:val="24"/>
          <w:highlight w:val="none"/>
        </w:rPr>
        <w:t>5</w:t>
      </w:r>
      <w:r>
        <w:rPr>
          <w:rFonts w:hint="eastAsia" w:ascii="宋体" w:hAnsi="宋体" w:cs="宋体"/>
          <w:b w:val="0"/>
          <w:bCs/>
          <w:color w:val="auto"/>
          <w:sz w:val="24"/>
          <w:highlight w:val="none"/>
        </w:rPr>
        <w:t>.本合同项下货物的验收合格，仅为对货物数量、外观、型号及初步功能符合性的确认，并非对货物内在质量、性能、长期稳定性及所有潜在瑕疵的最终认可</w:t>
      </w:r>
      <w:r>
        <w:rPr>
          <w:rFonts w:hint="eastAsia" w:ascii="宋体" w:hAnsi="宋体" w:cs="宋体"/>
          <w:bCs/>
          <w:color w:val="auto"/>
          <w:sz w:val="24"/>
          <w:highlight w:val="none"/>
        </w:rPr>
        <w:t>，不能豁免乙方的质量责任</w:t>
      </w:r>
      <w:r>
        <w:rPr>
          <w:rFonts w:hint="eastAsia" w:ascii="宋体" w:hAnsi="宋体" w:cs="宋体"/>
          <w:b w:val="0"/>
          <w:bCs/>
          <w:color w:val="auto"/>
          <w:sz w:val="24"/>
          <w:highlight w:val="none"/>
        </w:rPr>
        <w:t>。</w:t>
      </w:r>
    </w:p>
    <w:p w14:paraId="3FFBCB0B">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五、服务要求</w:t>
      </w:r>
    </w:p>
    <w:p w14:paraId="51C1FAA0">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1.乙方需对本合同的需求充分了解，对工作内容、计量单位、验收标准与方式、结算方式充分理解且无歧义，乙方需仔细核对甲方提供的技术资料，对不确定的需要充分与甲方对接核实，必要时前往甲方现场核实。</w:t>
      </w:r>
    </w:p>
    <w:p w14:paraId="0BF2E40C">
      <w:pPr>
        <w:spacing w:line="360" w:lineRule="auto"/>
        <w:ind w:firstLine="480" w:firstLineChars="200"/>
        <w:outlineLvl w:val="0"/>
        <w:rPr>
          <w:color w:val="auto"/>
          <w:highlight w:val="none"/>
        </w:rPr>
      </w:pPr>
      <w:r>
        <w:rPr>
          <w:rFonts w:hint="eastAsia" w:ascii="宋体" w:hAnsi="宋体" w:cs="宋体"/>
          <w:color w:val="auto"/>
          <w:sz w:val="24"/>
          <w:highlight w:val="none"/>
        </w:rPr>
        <w:t>2.甲乙双方需要遵守合同约定要求，按时、按质、按量完成合同要求，履行合同义务。</w:t>
      </w:r>
    </w:p>
    <w:p w14:paraId="04BF66B6">
      <w:pPr>
        <w:pStyle w:val="8"/>
        <w:ind w:firstLine="480" w:firstLineChars="200"/>
        <w:rPr>
          <w:color w:val="auto"/>
          <w:highlight w:val="none"/>
          <w:u w:val="single"/>
          <w:lang w:val="en-US"/>
        </w:rPr>
      </w:pPr>
      <w:r>
        <w:rPr>
          <w:rFonts w:hint="eastAsia"/>
          <w:color w:val="auto"/>
          <w:highlight w:val="none"/>
          <w:lang w:val="en-US"/>
        </w:rPr>
        <w:t>3.送货批次：</w:t>
      </w:r>
      <w:r>
        <w:rPr>
          <w:rFonts w:hint="eastAsia" w:hAnsi="宋体" w:cs="宋体"/>
          <w:color w:val="auto"/>
          <w:highlight w:val="none"/>
        </w:rPr>
        <w:t>按采购订单要求执行。</w:t>
      </w:r>
      <w:r>
        <w:rPr>
          <w:rFonts w:hint="eastAsia"/>
          <w:color w:val="auto"/>
          <w:highlight w:val="none"/>
          <w:lang w:val="en-US"/>
        </w:rPr>
        <w:t xml:space="preserve"> </w:t>
      </w:r>
    </w:p>
    <w:p w14:paraId="6BFDA28F">
      <w:pPr>
        <w:pStyle w:val="8"/>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.乙方必须满足甲方售后服务要求。若乙方提供的货物或者服务在使用过</w:t>
      </w:r>
      <w:r>
        <w:rPr>
          <w:rFonts w:hint="eastAsia"/>
          <w:color w:val="auto"/>
          <w:highlight w:val="none"/>
          <w:lang w:val="en-US" w:eastAsia="zh-CN"/>
        </w:rPr>
        <w:t>程中</w:t>
      </w:r>
      <w:r>
        <w:rPr>
          <w:rFonts w:hint="eastAsia"/>
          <w:color w:val="auto"/>
          <w:highlight w:val="none"/>
          <w:lang w:val="en-US"/>
        </w:rPr>
        <w:t>发生质量问题，乙方承担质量责任（免费维修或更换）</w:t>
      </w:r>
      <w:r>
        <w:rPr>
          <w:rFonts w:hint="eastAsia"/>
          <w:color w:val="auto"/>
          <w:highlight w:val="none"/>
          <w:lang w:val="en-US" w:eastAsia="zh-CN"/>
        </w:rPr>
        <w:t>，</w:t>
      </w:r>
      <w:r>
        <w:rPr>
          <w:rFonts w:hint="eastAsia"/>
          <w:color w:val="auto"/>
          <w:highlight w:val="none"/>
          <w:lang w:val="en-US"/>
        </w:rPr>
        <w:t>乙方须在接到甲方通知后必须24小时内做出书面答复并提供解决方案。若需要派遣技术人员，则应在接到甲方通知后,48小时内派人员到达现场进行免费指导解决问题。</w:t>
      </w:r>
    </w:p>
    <w:p w14:paraId="3A29F13E">
      <w:pPr>
        <w:pStyle w:val="8"/>
        <w:ind w:firstLine="480" w:firstLineChars="200"/>
        <w:rPr>
          <w:rFonts w:hint="eastAsia"/>
          <w:color w:val="auto"/>
          <w:highlight w:val="none"/>
          <w:lang w:val="en-US"/>
        </w:rPr>
      </w:pPr>
      <w:r>
        <w:rPr>
          <w:rFonts w:hint="eastAsia"/>
          <w:color w:val="auto"/>
          <w:highlight w:val="none"/>
          <w:lang w:val="en-US" w:eastAsia="zh-CN"/>
        </w:rPr>
        <w:t>5</w:t>
      </w:r>
      <w:r>
        <w:rPr>
          <w:rFonts w:hint="eastAsia"/>
          <w:color w:val="auto"/>
          <w:highlight w:val="none"/>
          <w:lang w:val="en-US"/>
        </w:rPr>
        <w:t>.甲方不再对任何售后服务进行付费。</w:t>
      </w:r>
      <w:r>
        <w:rPr>
          <w:rFonts w:hint="eastAsia"/>
          <w:color w:val="auto"/>
          <w:highlight w:val="none"/>
          <w:lang w:val="en-US" w:eastAsia="zh-CN"/>
        </w:rPr>
        <w:t>乙方</w:t>
      </w:r>
      <w:r>
        <w:rPr>
          <w:rFonts w:hint="eastAsia"/>
          <w:color w:val="auto"/>
          <w:highlight w:val="none"/>
          <w:lang w:val="en-US"/>
        </w:rPr>
        <w:t>派遣人员产生的一切费用由乙方承担。</w:t>
      </w:r>
    </w:p>
    <w:p w14:paraId="51B368E6">
      <w:pPr>
        <w:pStyle w:val="8"/>
        <w:ind w:firstLine="482" w:firstLineChars="200"/>
        <w:rPr>
          <w:rFonts w:hint="eastAsia" w:hAnsi="宋体" w:eastAsia="宋体" w:cs="宋体"/>
          <w:b/>
          <w:bCs/>
          <w:color w:val="auto"/>
          <w:highlight w:val="none"/>
        </w:rPr>
      </w:pPr>
      <w:r>
        <w:rPr>
          <w:rFonts w:hint="eastAsia" w:hAnsi="宋体" w:eastAsia="宋体" w:cs="宋体"/>
          <w:b/>
          <w:bCs/>
          <w:color w:val="auto"/>
          <w:highlight w:val="none"/>
          <w:lang w:val="en-US"/>
        </w:rPr>
        <w:t>六</w:t>
      </w:r>
      <w:r>
        <w:rPr>
          <w:rFonts w:hint="eastAsia" w:hAnsi="宋体" w:eastAsia="宋体" w:cs="宋体"/>
          <w:b/>
          <w:bCs/>
          <w:color w:val="auto"/>
          <w:highlight w:val="none"/>
        </w:rPr>
        <w:t>、装运包装及交付要求</w:t>
      </w:r>
    </w:p>
    <w:p w14:paraId="4D48A1F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1.除另有约定外,乙方交付的全部货物均应采用本行业通用的方式进行包装，没有通用方式的，应当采取足以保护货物的包装方式，且该包装应符合国家有关包装的法律法规的规定。</w:t>
      </w:r>
    </w:p>
    <w:p w14:paraId="4530ADD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14:paraId="0F3605D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3.货物在运输过程中发生的锈蚀、损坏和损失、丢失等一切风险均由乙方承担。</w:t>
      </w:r>
    </w:p>
    <w:p w14:paraId="4B7AF3D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4.乙方交付货物的要求如下：</w:t>
      </w:r>
    </w:p>
    <w:p w14:paraId="49ACE30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（1）乙方送货每批物资必须附甲方采购订单、送货单、产品质量检验合格证明或者检测报告、进口报关单（若有）、原产地证明（若有），否则甲方有权拒收；</w:t>
      </w:r>
    </w:p>
    <w:p w14:paraId="01BAE49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rPr>
        <w:t>并加盖公章或者销售章；</w:t>
      </w:r>
    </w:p>
    <w:p w14:paraId="6A7EE0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（3）送货单内容、数量必须与送货实物一致，不得虚开数量，超送部分，甲方有权拒收；</w:t>
      </w:r>
    </w:p>
    <w:p w14:paraId="0A6E6C16">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（4）乙方提供的产品或者其包装上的标识必须真实，满足以下要求：</w:t>
      </w:r>
    </w:p>
    <w:p w14:paraId="6D08A895">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①有中文标明的产品名称、生产厂厂名和厂址；</w:t>
      </w:r>
    </w:p>
    <w:p w14:paraId="08C2EEA8">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②根据产品的特点和使用要求，需要标明产品规格、等级、所含主要成份的名称和含量的，用中文相应予以标明。</w:t>
      </w:r>
    </w:p>
    <w:p w14:paraId="2F613167">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rPr>
        <w:t>（5）若有破损或被挤压变形影响使用的，甲方有权拒收。</w:t>
      </w:r>
    </w:p>
    <w:p w14:paraId="651630C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b w:val="0"/>
          <w:color w:val="auto"/>
          <w:sz w:val="24"/>
          <w:highlight w:val="none"/>
        </w:rPr>
        <w:t>.</w:t>
      </w:r>
      <w:r>
        <w:rPr>
          <w:rFonts w:hint="eastAsia" w:ascii="宋体" w:hAnsi="宋体" w:eastAsia="宋体" w:cs="宋体"/>
          <w:color w:val="auto"/>
          <w:sz w:val="24"/>
          <w:highlight w:val="none"/>
        </w:rPr>
        <w:t>以下情形在甲方同意的前提下，可采用质量承诺的方式：</w:t>
      </w:r>
    </w:p>
    <w:p w14:paraId="48E0FA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6BB09CFB">
      <w:pPr>
        <w:spacing w:line="360" w:lineRule="auto"/>
        <w:ind w:firstLine="480" w:firstLineChars="200"/>
        <w:outlineLvl w:val="9"/>
        <w:rPr>
          <w:rFonts w:hint="eastAsia" w:ascii="宋体" w:hAnsi="宋体" w:cs="宋体"/>
          <w:b/>
          <w:color w:val="auto"/>
          <w:sz w:val="24"/>
          <w:highlight w:val="none"/>
        </w:rPr>
      </w:pPr>
      <w:r>
        <w:rPr>
          <w:rFonts w:hint="eastAsia" w:ascii="宋体" w:hAnsi="宋体" w:eastAsia="宋体" w:cs="宋体"/>
          <w:color w:val="auto"/>
          <w:sz w:val="24"/>
          <w:highlight w:val="none"/>
        </w:rPr>
        <w:t>（2）非关键部位的货物，品牌制造商或者集成商采用外购形式的。</w:t>
      </w:r>
    </w:p>
    <w:p w14:paraId="23407527">
      <w:pPr>
        <w:pStyle w:val="9"/>
        <w:ind w:firstLine="480" w:firstLineChars="200"/>
        <w:outlineLvl w:val="0"/>
        <w:rPr>
          <w:rFonts w:hint="eastAsia" w:hAnsi="宋体" w:cs="宋体"/>
          <w:b/>
          <w:color w:val="auto"/>
          <w:highlight w:val="none"/>
        </w:rPr>
      </w:pPr>
      <w:r>
        <w:rPr>
          <w:color w:val="auto"/>
          <w:highlight w:val="none"/>
          <w:lang w:val="en-US"/>
        </w:rPr>
        <w:t>6</w:t>
      </w:r>
      <w:r>
        <w:rPr>
          <w:rFonts w:hint="eastAsia"/>
          <w:b/>
          <w:bCs/>
          <w:color w:val="auto"/>
          <w:highlight w:val="none"/>
          <w:lang w:val="en-US"/>
        </w:rPr>
        <w:t>.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14:paraId="6887848F">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七、</w:t>
      </w:r>
      <w:bookmarkEnd w:id="381"/>
      <w:bookmarkEnd w:id="382"/>
      <w:bookmarkEnd w:id="383"/>
      <w:r>
        <w:rPr>
          <w:rFonts w:hint="eastAsia" w:ascii="宋体" w:hAnsi="宋体" w:cs="宋体"/>
          <w:b/>
          <w:color w:val="auto"/>
          <w:sz w:val="24"/>
          <w:highlight w:val="none"/>
        </w:rPr>
        <w:t>验收方式及要求</w:t>
      </w:r>
    </w:p>
    <w:p w14:paraId="15DB40FC">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snapToGrid w:val="0"/>
          <w:color w:val="auto"/>
          <w:sz w:val="24"/>
          <w:szCs w:val="21"/>
          <w:highlight w:val="none"/>
        </w:rPr>
        <w:t>1.</w:t>
      </w:r>
      <w:r>
        <w:rPr>
          <w:rFonts w:hint="eastAsia" w:ascii="宋体" w:hAnsi="宋体" w:eastAsia="宋体" w:cs="宋体"/>
          <w:color w:val="auto"/>
          <w:sz w:val="24"/>
          <w:highlight w:val="none"/>
        </w:rPr>
        <w:t>乙方须配合甲方做好货物的到货数量验收工作，将货物</w:t>
      </w:r>
      <w:r>
        <w:rPr>
          <w:rFonts w:hint="eastAsia" w:ascii="宋体" w:hAnsi="宋体" w:eastAsia="宋体" w:cs="宋体"/>
          <w:color w:val="auto"/>
          <w:sz w:val="24"/>
          <w:highlight w:val="none"/>
          <w:lang w:eastAsia="zh-CN"/>
        </w:rPr>
        <w:t>运达</w:t>
      </w:r>
      <w:r>
        <w:rPr>
          <w:rFonts w:hint="eastAsia" w:ascii="宋体" w:hAnsi="宋体" w:eastAsia="宋体" w:cs="宋体"/>
          <w:color w:val="auto"/>
          <w:sz w:val="24"/>
          <w:highlight w:val="none"/>
        </w:rPr>
        <w:t>甲</w:t>
      </w:r>
      <w:r>
        <w:rPr>
          <w:rFonts w:hint="eastAsia" w:ascii="宋体" w:hAnsi="宋体" w:eastAsia="宋体" w:cs="宋体"/>
          <w:color w:val="auto"/>
          <w:sz w:val="24"/>
          <w:highlight w:val="none"/>
          <w:lang w:eastAsia="zh-CN"/>
        </w:rPr>
        <w:t>方指</w:t>
      </w:r>
      <w:r>
        <w:rPr>
          <w:rFonts w:hint="eastAsia" w:ascii="宋体" w:hAnsi="宋体" w:eastAsia="宋体" w:cs="宋体"/>
          <w:color w:val="auto"/>
          <w:sz w:val="24"/>
          <w:highlight w:val="none"/>
        </w:rPr>
        <w:t>定交货地点后及时通知甲方。</w:t>
      </w:r>
    </w:p>
    <w:p w14:paraId="71A5E19C">
      <w:pPr>
        <w:tabs>
          <w:tab w:val="left" w:pos="360"/>
          <w:tab w:val="left" w:pos="540"/>
          <w:tab w:val="left" w:pos="1080"/>
        </w:tabs>
        <w:spacing w:line="360" w:lineRule="auto"/>
        <w:ind w:firstLine="480" w:firstLineChars="200"/>
        <w:rPr>
          <w:rFonts w:hint="eastAsia" w:ascii="宋体" w:hAnsi="宋体" w:eastAsia="宋体" w:cs="宋体"/>
          <w:b/>
          <w:bCs/>
          <w:color w:val="auto"/>
          <w:sz w:val="24"/>
          <w:highlight w:val="none"/>
        </w:rPr>
      </w:pPr>
      <w:r>
        <w:rPr>
          <w:rFonts w:hint="eastAsia" w:ascii="宋体" w:hAnsi="宋体" w:cs="宋体"/>
          <w:color w:val="auto"/>
          <w:sz w:val="24"/>
          <w:highlight w:val="none"/>
        </w:rPr>
        <w:t xml:space="preserve">2.合同成果交付时，甲方在 </w:t>
      </w:r>
      <w:r>
        <w:rPr>
          <w:rFonts w:hint="eastAsia" w:ascii="宋体" w:hAnsi="宋体" w:cs="宋体"/>
          <w:color w:val="auto"/>
          <w:sz w:val="24"/>
          <w:highlight w:val="none"/>
          <w:u w:val="single"/>
        </w:rPr>
        <w:t>3</w:t>
      </w:r>
      <w:r>
        <w:rPr>
          <w:rFonts w:hint="eastAsia" w:ascii="宋体" w:hAnsi="宋体" w:cs="宋体"/>
          <w:b/>
          <w:color w:val="auto"/>
          <w:sz w:val="24"/>
          <w:highlight w:val="none"/>
        </w:rPr>
        <w:t>个工作日</w:t>
      </w:r>
      <w:r>
        <w:rPr>
          <w:rFonts w:hint="eastAsia" w:ascii="宋体" w:hAnsi="宋体" w:cs="宋体"/>
          <w:color w:val="auto"/>
          <w:sz w:val="24"/>
          <w:highlight w:val="none"/>
        </w:rPr>
        <w:t>内组织乙方共同首次验收，验收应出具</w:t>
      </w:r>
      <w:r>
        <w:rPr>
          <w:rFonts w:hint="eastAsia" w:ascii="宋体" w:hAnsi="宋体" w:cs="宋体"/>
          <w:b/>
          <w:bCs/>
          <w:color w:val="auto"/>
          <w:sz w:val="24"/>
          <w:highlight w:val="none"/>
        </w:rPr>
        <w:t>验收单</w:t>
      </w:r>
      <w:r>
        <w:rPr>
          <w:rFonts w:hint="eastAsia" w:ascii="宋体" w:hAnsi="宋体" w:cs="宋体"/>
          <w:color w:val="auto"/>
          <w:sz w:val="24"/>
          <w:highlight w:val="none"/>
        </w:rPr>
        <w:t>（如因货物检测需要更长时间的，组织验收时间为自货物交付之日起至甲方收到检验报告后</w:t>
      </w:r>
      <w:r>
        <w:rPr>
          <w:rFonts w:hint="eastAsia" w:ascii="宋体" w:hAnsi="宋体" w:cs="宋体"/>
          <w:color w:val="auto"/>
          <w:sz w:val="24"/>
          <w:highlight w:val="none"/>
          <w:u w:val="single"/>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甲方有权邀请国家认可的质量检测机构或生产厂家/品牌商参加乙方合同成果的验收工作。</w:t>
      </w:r>
    </w:p>
    <w:p w14:paraId="1473638F">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rPr>
        <w:t>3.数量验收：按合同清单中的计量单位验收。</w:t>
      </w:r>
    </w:p>
    <w:p w14:paraId="1BFA7E45">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4.经首次验收不满足合同要求的，</w:t>
      </w:r>
      <w:r>
        <w:rPr>
          <w:rFonts w:hint="eastAsia" w:ascii="宋体" w:hAnsi="宋体" w:eastAsia="宋体" w:cs="宋体"/>
          <w:color w:val="auto"/>
          <w:sz w:val="24"/>
          <w:highlight w:val="none"/>
          <w:u w:val="single"/>
          <w:lang w:val="en-US" w:eastAsia="zh-CN"/>
        </w:rPr>
        <w:t>乙方</w:t>
      </w:r>
      <w:r>
        <w:rPr>
          <w:rFonts w:hint="eastAsia" w:ascii="宋体" w:hAnsi="宋体" w:eastAsia="宋体" w:cs="宋体"/>
          <w:color w:val="auto"/>
          <w:sz w:val="24"/>
          <w:highlight w:val="none"/>
          <w:u w:val="single"/>
        </w:rPr>
        <w:t>需要及时整改至满足合同要求为止时视为验收合格。</w:t>
      </w:r>
    </w:p>
    <w:p w14:paraId="35136FEF">
      <w:pPr>
        <w:tabs>
          <w:tab w:val="left" w:pos="360"/>
          <w:tab w:val="left" w:pos="540"/>
          <w:tab w:val="left" w:pos="1080"/>
        </w:tabs>
        <w:spacing w:line="360" w:lineRule="auto"/>
        <w:ind w:firstLine="480" w:firstLineChars="200"/>
        <w:rPr>
          <w:color w:val="auto"/>
          <w:highlight w:val="none"/>
        </w:rPr>
      </w:pPr>
      <w:r>
        <w:rPr>
          <w:rFonts w:hint="eastAsia" w:ascii="宋体" w:hAnsi="宋体" w:eastAsia="宋体" w:cs="宋体"/>
          <w:color w:val="auto"/>
          <w:sz w:val="24"/>
          <w:highlight w:val="none"/>
          <w:u w:val="single"/>
        </w:rPr>
        <w:t>5.</w:t>
      </w:r>
      <w:r>
        <w:rPr>
          <w:rFonts w:hint="eastAsia" w:ascii="宋体" w:hAnsi="宋体" w:cs="宋体"/>
          <w:color w:val="auto"/>
          <w:sz w:val="24"/>
          <w:highlight w:val="none"/>
        </w:rPr>
        <w:t>乙方所供货物的品牌、型号等应与合同约定要求一致，若因停产、缺货等因素导致无法按照合同约定的货物品牌、型号等要求进行供货的，乙方应提前取得甲方同意，并出具书面情况说明、承诺替换的货物质量不低于合同约定要求，品牌为合同约定的同档次产品。</w:t>
      </w:r>
    </w:p>
    <w:p w14:paraId="0698EB55">
      <w:pPr>
        <w:pStyle w:val="8"/>
        <w:ind w:firstLine="482" w:firstLineChars="200"/>
        <w:rPr>
          <w:rFonts w:eastAsia="宋体"/>
          <w:b/>
          <w:color w:val="auto"/>
          <w:highlight w:val="none"/>
        </w:rPr>
      </w:pPr>
      <w:r>
        <w:rPr>
          <w:rFonts w:hint="eastAsia" w:hAnsi="宋体" w:eastAsia="宋体"/>
          <w:b/>
          <w:color w:val="auto"/>
          <w:highlight w:val="none"/>
          <w:lang w:val="en-US"/>
        </w:rPr>
        <w:t>八、</w:t>
      </w:r>
      <w:r>
        <w:rPr>
          <w:rFonts w:hint="eastAsia"/>
          <w:b/>
          <w:color w:val="auto"/>
          <w:highlight w:val="none"/>
        </w:rPr>
        <w:t>履约保证金</w:t>
      </w:r>
    </w:p>
    <w:p w14:paraId="4675FACC">
      <w:pPr>
        <w:pStyle w:val="27"/>
        <w:spacing w:before="0" w:beforeAutospacing="0" w:after="0" w:afterAutospacing="0" w:line="360" w:lineRule="auto"/>
        <w:ind w:firstLine="480"/>
        <w:rPr>
          <w:rFonts w:hint="eastAsia"/>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637AD80A">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103F1118">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2.履约保证金支付时间：乙方应于本合同签订前按采购文件和本合同约定的支付履约保证金；</w:t>
      </w:r>
    </w:p>
    <w:p w14:paraId="604E51CC">
      <w:pPr>
        <w:spacing w:line="360" w:lineRule="auto"/>
        <w:ind w:firstLine="480" w:firstLineChars="200"/>
        <w:outlineLvl w:val="0"/>
        <w:rPr>
          <w:rFonts w:hint="eastAsia"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 电汇/转账 ；账户信息如下：</w:t>
      </w:r>
    </w:p>
    <w:p w14:paraId="17B9EE9A">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名称：杭州临江环境能源有限公司   </w:t>
      </w:r>
    </w:p>
    <w:p w14:paraId="094E4655">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税号：91330100MA2B02NX2L</w:t>
      </w:r>
    </w:p>
    <w:p w14:paraId="345AD341">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地址电话：浙江省杭州市钱塘区临江街道红十五路10388-123号 0571-81997919</w:t>
      </w:r>
    </w:p>
    <w:p w14:paraId="5E25532F">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开户行及账号：杭州银行大江东支行 3301040160008775754</w:t>
      </w:r>
    </w:p>
    <w:p w14:paraId="24F1DE97">
      <w:pPr>
        <w:spacing w:line="360" w:lineRule="auto"/>
        <w:ind w:left="479" w:leftChars="228"/>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4.如果乙方完全不履行合同或未全面履行合同义务，履约保证金不予退还。</w:t>
      </w:r>
    </w:p>
    <w:p w14:paraId="4A62FC70">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5.本合同</w:t>
      </w:r>
      <w:r>
        <w:rPr>
          <w:rFonts w:hint="eastAsia" w:ascii="宋体" w:hAnsi="宋体" w:cs="宋体"/>
          <w:color w:val="auto"/>
          <w:kern w:val="0"/>
          <w:sz w:val="24"/>
          <w:highlight w:val="none"/>
          <w:u w:val="single"/>
        </w:rPr>
        <w:t>最后一批次货物</w:t>
      </w:r>
      <w:r>
        <w:rPr>
          <w:rFonts w:hint="eastAsia" w:ascii="宋体" w:hAnsi="宋体" w:cs="宋体"/>
          <w:color w:val="auto"/>
          <w:kern w:val="0"/>
          <w:sz w:val="24"/>
          <w:highlight w:val="none"/>
          <w:u w:val="single"/>
          <w:lang w:val="en-US" w:eastAsia="zh-CN"/>
        </w:rPr>
        <w:t>质保期结束</w:t>
      </w:r>
      <w:r>
        <w:rPr>
          <w:rFonts w:hint="eastAsia" w:ascii="宋体" w:hAnsi="宋体" w:cs="宋体"/>
          <w:color w:val="auto"/>
          <w:kern w:val="0"/>
          <w:sz w:val="24"/>
          <w:highlight w:val="none"/>
          <w:u w:val="single"/>
        </w:rPr>
        <w:t>后且无遗留问题，</w:t>
      </w:r>
      <w:r>
        <w:rPr>
          <w:rFonts w:hint="eastAsia" w:ascii="宋体" w:hAnsi="宋体" w:cs="宋体"/>
          <w:color w:val="auto"/>
          <w:kern w:val="0"/>
          <w:sz w:val="24"/>
          <w:highlight w:val="none"/>
        </w:rPr>
        <w:t>甲方收到乙方履约保证金退还申请书原件后 30个工作日内将履约保证金余额无息退还乙方。</w:t>
      </w:r>
    </w:p>
    <w:bookmarkEnd w:id="378"/>
    <w:bookmarkEnd w:id="379"/>
    <w:bookmarkEnd w:id="380"/>
    <w:p w14:paraId="222A98D0">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cs="宋体"/>
          <w:b/>
          <w:color w:val="auto"/>
          <w:sz w:val="24"/>
          <w:highlight w:val="none"/>
        </w:rPr>
        <w:t>十、预付款</w:t>
      </w:r>
    </w:p>
    <w:p w14:paraId="2BE019B6">
      <w:pPr>
        <w:pStyle w:val="27"/>
        <w:spacing w:before="0" w:beforeAutospacing="0" w:after="0" w:afterAutospacing="0" w:line="360" w:lineRule="auto"/>
        <w:ind w:firstLine="480"/>
        <w:rPr>
          <w:rFonts w:hint="eastAsia"/>
          <w:color w:val="auto"/>
          <w:highlight w:val="none"/>
          <w:u w:val="singl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w:t>
      </w:r>
    </w:p>
    <w:p w14:paraId="548A9614">
      <w:pPr>
        <w:pStyle w:val="27"/>
        <w:spacing w:before="0" w:beforeAutospacing="0" w:after="0" w:afterAutospacing="0" w:line="360" w:lineRule="auto"/>
        <w:ind w:firstLine="480"/>
        <w:rPr>
          <w:rFonts w:hint="eastAsia"/>
          <w:b/>
          <w:bCs/>
          <w:color w:val="auto"/>
          <w:highlight w:val="none"/>
        </w:rPr>
      </w:pPr>
      <w:r>
        <w:rPr>
          <w:rFonts w:hint="eastAsia"/>
          <w:b/>
          <w:bCs/>
          <w:color w:val="auto"/>
          <w:highlight w:val="none"/>
        </w:rPr>
        <w:t>十一、资金支付</w:t>
      </w:r>
    </w:p>
    <w:p w14:paraId="0BBAC3FD">
      <w:pPr>
        <w:pStyle w:val="27"/>
        <w:spacing w:before="0" w:beforeAutospacing="0" w:after="0" w:afterAutospacing="0" w:line="360" w:lineRule="auto"/>
        <w:ind w:firstLine="480"/>
        <w:rPr>
          <w:rFonts w:hint="eastAsia" w:eastAsia="宋体"/>
          <w:color w:val="auto"/>
          <w:highlight w:val="none"/>
        </w:rPr>
      </w:pPr>
      <w:bookmarkStart w:id="384" w:name="_Toc19304"/>
      <w:bookmarkStart w:id="385" w:name="_Toc32071"/>
      <w:bookmarkStart w:id="386" w:name="_Toc2846"/>
      <w:r>
        <w:rPr>
          <w:rFonts w:hint="eastAsia" w:eastAsia="宋体"/>
          <w:color w:val="auto"/>
          <w:highlight w:val="none"/>
        </w:rPr>
        <w:t>1.甲乙双方对合同的结算金额核对，核对数量、单价、金额等信息。</w:t>
      </w:r>
      <w:r>
        <w:rPr>
          <w:rFonts w:hint="eastAsia" w:eastAsia="宋体"/>
          <w:b/>
          <w:bCs/>
          <w:color w:val="auto"/>
          <w:highlight w:val="none"/>
        </w:rPr>
        <w:t>若应结算金额中需要扣除违约金的，乙方需开具全额发票。甲方支付扣除违约金后的金额，甲方向乙方提供违约金收据。</w:t>
      </w:r>
      <w:r>
        <w:rPr>
          <w:rFonts w:hint="eastAsia" w:eastAsia="宋体"/>
          <w:color w:val="auto"/>
          <w:highlight w:val="none"/>
        </w:rPr>
        <w:t>如乙方提供的发票存在问题，甲方有权延迟付款且不承担任何责任。</w:t>
      </w:r>
    </w:p>
    <w:p w14:paraId="064A0C40">
      <w:pPr>
        <w:pStyle w:val="27"/>
        <w:spacing w:before="0" w:beforeAutospacing="0" w:after="0" w:afterAutospacing="0" w:line="360" w:lineRule="auto"/>
        <w:ind w:firstLine="480"/>
        <w:rPr>
          <w:rFonts w:hint="eastAsia" w:eastAsia="宋体"/>
          <w:color w:val="auto"/>
          <w:highlight w:val="none"/>
        </w:rPr>
      </w:pPr>
      <w:r>
        <w:rPr>
          <w:rFonts w:hint="eastAsia" w:eastAsia="宋体"/>
          <w:color w:val="auto"/>
          <w:highlight w:val="none"/>
        </w:rPr>
        <w:t>2.甲方自收到合格发票后</w:t>
      </w:r>
      <w:r>
        <w:rPr>
          <w:rFonts w:hint="eastAsia" w:eastAsia="宋体"/>
          <w:b/>
          <w:bCs/>
          <w:color w:val="auto"/>
          <w:highlight w:val="none"/>
          <w:u w:val="single"/>
        </w:rPr>
        <w:t>30</w:t>
      </w:r>
      <w:r>
        <w:rPr>
          <w:rFonts w:hint="eastAsia" w:eastAsia="宋体"/>
          <w:color w:val="auto"/>
          <w:highlight w:val="none"/>
        </w:rPr>
        <w:t>个工作日内将资金支付到合同约定的乙方账户（但本条第3款另有约定的除外）。</w:t>
      </w:r>
    </w:p>
    <w:p w14:paraId="0B045842">
      <w:pPr>
        <w:pStyle w:val="27"/>
        <w:spacing w:before="0" w:beforeAutospacing="0" w:after="0" w:afterAutospacing="0" w:line="360" w:lineRule="auto"/>
        <w:ind w:firstLine="480"/>
        <w:rPr>
          <w:rFonts w:hint="eastAsia"/>
          <w:color w:val="auto"/>
          <w:highlight w:val="none"/>
        </w:rPr>
      </w:pPr>
      <w:r>
        <w:rPr>
          <w:rFonts w:hint="eastAsia"/>
          <w:color w:val="auto"/>
          <w:highlight w:val="none"/>
        </w:rPr>
        <w:t>3.本项目资金支付的方</w:t>
      </w:r>
      <w:bookmarkEnd w:id="384"/>
      <w:bookmarkEnd w:id="385"/>
      <w:bookmarkEnd w:id="386"/>
      <w:bookmarkStart w:id="387" w:name="_Toc27250"/>
      <w:bookmarkStart w:id="388" w:name="_Toc19554"/>
      <w:bookmarkStart w:id="389" w:name="_Toc21423"/>
      <w:r>
        <w:rPr>
          <w:rFonts w:hint="eastAsia"/>
          <w:color w:val="auto"/>
          <w:highlight w:val="none"/>
        </w:rPr>
        <w:t>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p w14:paraId="5E668D76">
      <w:pPr>
        <w:pStyle w:val="27"/>
        <w:spacing w:before="0" w:beforeAutospacing="0" w:after="0" w:afterAutospacing="0" w:line="360" w:lineRule="auto"/>
        <w:ind w:firstLine="480"/>
        <w:rPr>
          <w:rFonts w:hint="eastAsia" w:ascii="宋体" w:hAnsi="宋体" w:cs="宋体"/>
          <w:color w:val="auto"/>
          <w:highlight w:val="none"/>
          <w:u w:val="single"/>
        </w:rPr>
      </w:pPr>
      <w:r>
        <w:rPr>
          <w:rFonts w:hint="eastAsia" w:ascii="宋体" w:hAnsi="宋体" w:cs="宋体"/>
          <w:color w:val="auto"/>
          <w:highlight w:val="none"/>
          <w:u w:val="single"/>
        </w:rPr>
        <w:t>（1）</w:t>
      </w:r>
      <w:r>
        <w:rPr>
          <w:rFonts w:hint="eastAsia"/>
          <w:color w:val="auto"/>
          <w:highlight w:val="none"/>
          <w:u w:val="single"/>
        </w:rPr>
        <w:t>按月支付，甲方根据乙方上个月交付合同成果、验收结果进行结算和支付，甲方收到乙方提供</w:t>
      </w:r>
      <w:r>
        <w:rPr>
          <w:rFonts w:hint="eastAsia" w:eastAsia="宋体"/>
          <w:color w:val="auto"/>
          <w:highlight w:val="none"/>
          <w:u w:val="single"/>
        </w:rPr>
        <w:t>应结算总金额</w:t>
      </w:r>
      <w:r>
        <w:rPr>
          <w:rFonts w:hint="eastAsia"/>
          <w:color w:val="auto"/>
          <w:highlight w:val="none"/>
          <w:u w:val="single"/>
        </w:rPr>
        <w:t>的全额增值税专用发票后，甲方在本合同约定时间内完成支付</w:t>
      </w:r>
      <w:r>
        <w:rPr>
          <w:rFonts w:hint="eastAsia" w:eastAsia="宋体"/>
          <w:color w:val="auto"/>
          <w:highlight w:val="none"/>
          <w:u w:val="single"/>
        </w:rPr>
        <w:t>应结算总金额的</w:t>
      </w:r>
      <w:r>
        <w:rPr>
          <w:rFonts w:hint="eastAsia" w:eastAsia="宋体"/>
          <w:color w:val="auto"/>
          <w:highlight w:val="none"/>
          <w:u w:val="single"/>
          <w:lang w:val="en-US" w:eastAsia="zh-CN"/>
        </w:rPr>
        <w:t>100</w:t>
      </w:r>
      <w:r>
        <w:rPr>
          <w:rFonts w:hint="eastAsia" w:eastAsia="宋体"/>
          <w:color w:val="auto"/>
          <w:highlight w:val="none"/>
          <w:u w:val="single"/>
        </w:rPr>
        <w:t xml:space="preserve"> %</w:t>
      </w:r>
      <w:r>
        <w:rPr>
          <w:rFonts w:hint="eastAsia"/>
          <w:color w:val="auto"/>
          <w:highlight w:val="none"/>
          <w:u w:val="single"/>
        </w:rPr>
        <w:t>。</w:t>
      </w:r>
    </w:p>
    <w:p w14:paraId="372EA290">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十二、违约责任</w:t>
      </w:r>
      <w:bookmarkEnd w:id="387"/>
      <w:bookmarkEnd w:id="388"/>
      <w:bookmarkEnd w:id="389"/>
    </w:p>
    <w:p w14:paraId="321365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1.违约金支付方式：若乙方在合同履行中有违约行为或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，乙方应向甲方账户电汇或者转账相应金额的违约金或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扣款金额，甲方向乙方开具财务收据，若乙方未按要求缴纳违约金或</w:t>
      </w:r>
      <w:r>
        <w:rPr>
          <w:rFonts w:hint="eastAsia" w:ascii="宋体" w:hAnsi="宋体" w:eastAsia="宋体" w:cs="宋体"/>
          <w:color w:val="auto"/>
          <w:sz w:val="24"/>
          <w:highlight w:val="none"/>
          <w:lang w:eastAsia="zh-CN"/>
        </w:rPr>
        <w:t>行为考核扣款</w:t>
      </w:r>
      <w:r>
        <w:rPr>
          <w:rFonts w:hint="eastAsia" w:ascii="宋体" w:hAnsi="宋体" w:eastAsia="宋体" w:cs="宋体"/>
          <w:color w:val="auto"/>
          <w:sz w:val="24"/>
          <w:highlight w:val="none"/>
        </w:rPr>
        <w:t>金额的，甲方无责暂停支付乙方应结算金额款项直至乙方全额缴纳。中止或解除合同的，乙方未按要求缴纳的违约金</w:t>
      </w:r>
      <w:r>
        <w:rPr>
          <w:rFonts w:hint="eastAsia" w:ascii="宋体" w:hAnsi="宋体" w:eastAsia="宋体" w:cs="宋体"/>
          <w:color w:val="auto"/>
          <w:sz w:val="24"/>
          <w:highlight w:val="none"/>
          <w:lang w:eastAsia="zh-CN"/>
        </w:rPr>
        <w:t>或行为考核扣款</w:t>
      </w:r>
      <w:r>
        <w:rPr>
          <w:rFonts w:hint="eastAsia" w:ascii="宋体" w:hAnsi="宋体" w:eastAsia="宋体" w:cs="宋体"/>
          <w:color w:val="auto"/>
          <w:sz w:val="24"/>
          <w:highlight w:val="none"/>
        </w:rPr>
        <w:t>金额，甲方有权优先从履约保证</w:t>
      </w:r>
      <w:r>
        <w:rPr>
          <w:rFonts w:hint="eastAsia" w:ascii="宋体" w:hAnsi="宋体" w:eastAsia="宋体" w:cs="宋体"/>
          <w:color w:val="auto"/>
          <w:sz w:val="24"/>
          <w:highlight w:val="none"/>
          <w:lang w:eastAsia="zh-CN"/>
        </w:rPr>
        <w:t>金中</w:t>
      </w:r>
      <w:r>
        <w:rPr>
          <w:rFonts w:hint="eastAsia" w:ascii="宋体" w:hAnsi="宋体" w:eastAsia="宋体" w:cs="宋体"/>
          <w:color w:val="auto"/>
          <w:sz w:val="24"/>
          <w:highlight w:val="none"/>
        </w:rPr>
        <w:t>扣除，不足部分从乙方应结算金额款项中扣除；若无履约保证金的，甲方有权直接从乙方应结算</w:t>
      </w:r>
      <w:r>
        <w:rPr>
          <w:rFonts w:hint="eastAsia" w:ascii="宋体" w:hAnsi="宋体" w:eastAsia="宋体" w:cs="宋体"/>
          <w:color w:val="auto"/>
          <w:sz w:val="24"/>
          <w:highlight w:val="none"/>
          <w:lang w:eastAsia="zh-CN"/>
        </w:rPr>
        <w:t>金额</w:t>
      </w:r>
      <w:r>
        <w:rPr>
          <w:rFonts w:hint="eastAsia" w:ascii="宋体" w:hAnsi="宋体" w:eastAsia="宋体" w:cs="宋体"/>
          <w:color w:val="auto"/>
          <w:sz w:val="24"/>
          <w:highlight w:val="none"/>
        </w:rPr>
        <w:t>中扣除。</w:t>
      </w:r>
    </w:p>
    <w:p w14:paraId="7A6907C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2.除不可抗力外，如果乙方无故没有按照本合同约定的期限、地点和方式交付合同成果，甲方有权要求乙方支付违约金，违约金每迟延交付合同成果一日按应交付而未交付合同成果的含税总金额的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天的，甲方有权单方解除本合同，并要求乙方一次性承担（</w:t>
      </w:r>
      <w:r>
        <w:rPr>
          <w:rFonts w:hint="eastAsia" w:ascii="宋体" w:hAnsi="宋体" w:cs="宋体"/>
          <w:color w:val="auto"/>
          <w:sz w:val="24"/>
          <w:highlight w:val="none"/>
          <w:u w:val="single"/>
        </w:rPr>
        <w:t>□本合同累计已发生金额/□合同约定总金额/☑应交付而未交付</w:t>
      </w:r>
      <w:r>
        <w:rPr>
          <w:rFonts w:hint="eastAsia" w:ascii="宋体" w:hAnsi="宋体" w:cs="宋体"/>
          <w:color w:val="auto"/>
          <w:sz w:val="24"/>
          <w:highlight w:val="none"/>
        </w:rPr>
        <w:t>合同成果</w:t>
      </w:r>
      <w:r>
        <w:rPr>
          <w:rFonts w:hint="eastAsia" w:ascii="宋体" w:hAnsi="宋体" w:cs="宋体"/>
          <w:color w:val="auto"/>
          <w:sz w:val="24"/>
          <w:highlight w:val="none"/>
          <w:u w:val="single"/>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的违约金。经双方同意延期的情形不在此列</w:t>
      </w:r>
      <w:bookmarkStart w:id="390" w:name="_Hlk218409580"/>
      <w:r>
        <w:rPr>
          <w:rFonts w:hint="eastAsia" w:ascii="宋体" w:hAnsi="宋体" w:cs="宋体"/>
          <w:color w:val="auto"/>
          <w:sz w:val="24"/>
          <w:highlight w:val="none"/>
        </w:rPr>
        <w:t>，乙方交付成果不满足合同约定，按照合同要求重做、更换的，仍应按照本条款支付违约金，按照重做、更换后交付时间与首次交付时间差额计算违约金</w:t>
      </w:r>
      <w:bookmarkEnd w:id="390"/>
      <w:r>
        <w:rPr>
          <w:rFonts w:hint="eastAsia" w:ascii="宋体" w:hAnsi="宋体" w:cs="宋体"/>
          <w:color w:val="auto"/>
          <w:sz w:val="24"/>
          <w:highlight w:val="none"/>
        </w:rPr>
        <w:t>。</w:t>
      </w:r>
    </w:p>
    <w:p w14:paraId="6D2F5B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3.除不可抗力外，如果甲方无故没有按照本合同约定的付款方式付款，那么乙方可要求甲方支付违约金，违约金按每迟延付款一日的应付而未付款的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 xml:space="preserve"> 0.03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w:t>
      </w:r>
    </w:p>
    <w:p w14:paraId="7C8B34C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除不可抗力外，乙方未能履行本合同约定的其他主要义务，经催告后在合理期限内仍未履行的，或者乙方有其他违约行为致使不能实现合同目的的，或者乙方有腐败行为（即：提供或给予或接受或索取任何财物或其他好处或者采取其他不正当手段影响甲方在合同签订、履行过程中的行为）或者欺诈行为（即：以谎报事实或者隐瞒真相的方法来影响对方当事人在合同签订、履行过程中的行为）的，甲方可以书面通知违约方解除本合同</w:t>
      </w:r>
      <w:bookmarkStart w:id="391" w:name="_Hlk218409664"/>
      <w:r>
        <w:rPr>
          <w:rFonts w:hint="eastAsia" w:ascii="宋体" w:hAnsi="宋体" w:cs="宋体"/>
          <w:color w:val="auto"/>
          <w:sz w:val="24"/>
          <w:highlight w:val="none"/>
        </w:rPr>
        <w:t>并要求乙方赔偿本合同总额30%的违约金</w:t>
      </w:r>
      <w:bookmarkEnd w:id="391"/>
      <w:r>
        <w:rPr>
          <w:rFonts w:hint="eastAsia" w:ascii="宋体" w:hAnsi="宋体" w:cs="宋体"/>
          <w:color w:val="auto"/>
          <w:sz w:val="24"/>
          <w:highlight w:val="none"/>
        </w:rPr>
        <w:t>；</w:t>
      </w:r>
    </w:p>
    <w:p w14:paraId="2CA28B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5D479B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13D85032">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7.违约责任另有约定具体如下：</w:t>
      </w:r>
    </w:p>
    <w:p w14:paraId="165D7AC9">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（1）乙方交付的货物不符合合同约定/验收不合格，经甲方催告后仍未更换</w:t>
      </w:r>
      <w:r>
        <w:rPr>
          <w:rFonts w:hint="eastAsia" w:ascii="宋体" w:hAnsi="宋体" w:cs="宋体"/>
          <w:color w:val="auto"/>
          <w:sz w:val="24"/>
          <w:highlight w:val="none"/>
          <w:u w:val="single"/>
          <w:lang w:val="en-US" w:eastAsia="zh-CN"/>
        </w:rPr>
        <w:t>或整改</w:t>
      </w:r>
      <w:r>
        <w:rPr>
          <w:rFonts w:hint="eastAsia" w:ascii="宋体" w:hAnsi="宋体" w:cs="宋体"/>
          <w:color w:val="auto"/>
          <w:sz w:val="24"/>
          <w:highlight w:val="none"/>
          <w:u w:val="single"/>
        </w:rPr>
        <w:t>的，甲方有权解除本合同，并</w:t>
      </w:r>
      <w:r>
        <w:rPr>
          <w:rFonts w:hint="eastAsia" w:ascii="宋体" w:hAnsi="宋体" w:cs="宋体"/>
          <w:color w:val="auto"/>
          <w:sz w:val="24"/>
          <w:highlight w:val="none"/>
          <w:u w:val="single"/>
          <w:lang w:val="en-US" w:eastAsia="zh-CN"/>
        </w:rPr>
        <w:t>有权</w:t>
      </w:r>
      <w:r>
        <w:rPr>
          <w:rFonts w:hint="eastAsia" w:ascii="宋体" w:hAnsi="宋体" w:cs="宋体"/>
          <w:color w:val="auto"/>
          <w:sz w:val="24"/>
          <w:highlight w:val="none"/>
          <w:u w:val="single"/>
        </w:rPr>
        <w:t>要求乙方承担本合同总金额30%的违约金；</w:t>
      </w:r>
    </w:p>
    <w:p w14:paraId="0D1DA514">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（2）乙方不履行售后服务义务的，每次应向甲方缴纳1000元的违约金，且仍应履行售后服务义务；</w:t>
      </w:r>
    </w:p>
    <w:p w14:paraId="2F5ADE72">
      <w:pPr>
        <w:pStyle w:val="8"/>
        <w:ind w:right="-420" w:rightChars="-200" w:firstLine="480" w:firstLineChars="200"/>
        <w:rPr>
          <w:color w:val="auto"/>
          <w:highlight w:val="none"/>
          <w:u w:val="single"/>
        </w:rPr>
      </w:pPr>
      <w:r>
        <w:rPr>
          <w:rFonts w:hint="eastAsia" w:hAnsi="宋体" w:cs="宋体"/>
          <w:color w:val="auto"/>
          <w:highlight w:val="none"/>
          <w:u w:val="single"/>
        </w:rPr>
        <w:t>（</w:t>
      </w:r>
      <w:r>
        <w:rPr>
          <w:rFonts w:hint="eastAsia" w:hAnsi="宋体" w:cs="宋体"/>
          <w:color w:val="auto"/>
          <w:highlight w:val="none"/>
          <w:u w:val="single"/>
          <w:lang w:val="en-US"/>
        </w:rPr>
        <w:t>3</w:t>
      </w:r>
      <w:r>
        <w:rPr>
          <w:rFonts w:hint="eastAsia" w:hAnsi="宋体" w:cs="宋体"/>
          <w:color w:val="auto"/>
          <w:highlight w:val="none"/>
          <w:u w:val="single"/>
        </w:rPr>
        <w:t>）</w:t>
      </w:r>
      <w:r>
        <w:rPr>
          <w:rFonts w:hint="eastAsia"/>
          <w:color w:val="auto"/>
          <w:highlight w:val="none"/>
          <w:u w:val="single"/>
          <w:lang w:val="en-US"/>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w:t>
      </w:r>
      <w:r>
        <w:rPr>
          <w:rFonts w:hint="eastAsia"/>
          <w:color w:val="auto"/>
          <w:highlight w:val="none"/>
          <w:u w:val="single"/>
          <w:lang w:val="en-US" w:eastAsia="zh-CN"/>
        </w:rPr>
        <w:t>因</w:t>
      </w:r>
      <w:r>
        <w:rPr>
          <w:rFonts w:hint="eastAsia"/>
          <w:color w:val="auto"/>
          <w:highlight w:val="none"/>
          <w:u w:val="single"/>
          <w:lang w:val="en-US"/>
        </w:rPr>
        <w:t>质量问题导致甲方产生的其他损失（不足扣除的，乙方应当另行承担）。</w:t>
      </w:r>
    </w:p>
    <w:p w14:paraId="1E0B77C3">
      <w:pPr>
        <w:pStyle w:val="8"/>
        <w:ind w:firstLine="480" w:firstLineChars="200"/>
        <w:rPr>
          <w:rFonts w:hint="eastAsia" w:hAnsi="宋体" w:cs="宋体"/>
          <w:snapToGrid/>
          <w:color w:val="auto"/>
          <w:szCs w:val="24"/>
          <w:highlight w:val="none"/>
          <w:lang w:val="en-US"/>
        </w:rPr>
      </w:pPr>
      <w:bookmarkStart w:id="392" w:name="_Toc16021"/>
      <w:bookmarkStart w:id="393" w:name="_Toc15583"/>
      <w:bookmarkStart w:id="394" w:name="_Toc28375"/>
      <w:r>
        <w:rPr>
          <w:rFonts w:hint="eastAsia" w:hAnsi="宋体" w:cs="宋体"/>
          <w:snapToGrid/>
          <w:color w:val="auto"/>
          <w:szCs w:val="24"/>
          <w:highlight w:val="none"/>
          <w:lang w:val="en-US"/>
        </w:rPr>
        <w:t>8.在使用乙方提供的货物或者服务过程中，因产品质量或乙方其他问题给机械设备造成故障、货物损坏、甲方对第三方违约或者产生其他费用，由乙方承担甲方的一切损失，包括直接和间接损失。</w:t>
      </w:r>
    </w:p>
    <w:p w14:paraId="12CBB796">
      <w:pPr>
        <w:pStyle w:val="9"/>
        <w:rPr>
          <w:color w:val="auto"/>
          <w:highlight w:val="none"/>
          <w:lang w:val="en-US"/>
        </w:rPr>
      </w:pPr>
      <w:r>
        <w:rPr>
          <w:rFonts w:hint="eastAsia" w:hAnsi="宋体" w:cs="宋体"/>
          <w:color w:val="auto"/>
          <w:szCs w:val="24"/>
          <w:highlight w:val="none"/>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0D252A2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十三、知识产权</w:t>
      </w:r>
    </w:p>
    <w:p w14:paraId="1ECDA6D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55E9D62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十四、技术资料和保密义务</w:t>
      </w:r>
    </w:p>
    <w:p w14:paraId="1C1991B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1.乙方有权依据合同约定和项目需要，向甲方了解有关情况，调阅有关资料等，甲方应予积极配合；</w:t>
      </w:r>
    </w:p>
    <w:p w14:paraId="3915FF3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14:paraId="4DCF5AA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2F31BA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十五、合同变更或补充</w:t>
      </w:r>
    </w:p>
    <w:p w14:paraId="19CCAA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1A9DB47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2.本合同如有未尽事宜，双方协商解决。经双方协商后以补充协议形式书面确认，并作为本合同不可分割部分。如补充协议与本合同有不同之处，以补充协议为准。</w:t>
      </w:r>
    </w:p>
    <w:p w14:paraId="6DCC65B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3.本合同生效后，双方就质量、价款或者报酬、履行地点等内容没有约定或者约定不明确的，或者存在明显错误的，可以协议补充；不能达成补充协议的，按照合同相关条款确定。</w:t>
      </w:r>
    </w:p>
    <w:p w14:paraId="0B44618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十六、 合同转让和分包</w:t>
      </w:r>
    </w:p>
    <w:p w14:paraId="47B99A2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合同的权利和义务不得转让。</w:t>
      </w:r>
    </w:p>
    <w:p w14:paraId="6605707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十七、不可抗力</w:t>
      </w:r>
    </w:p>
    <w:p w14:paraId="54EEDC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1.如果任何一方遭遇法律规定的不可抗力，致使合同履行受阻时，履行合同的期限应予延长，延长的期限应相当于不可抗力所影响的时间；</w:t>
      </w:r>
    </w:p>
    <w:p w14:paraId="080DF80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因不可抗力致使不能实现合同目的的，当事人可以解除合同；</w:t>
      </w:r>
    </w:p>
    <w:p w14:paraId="50D8906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3.因不可抗力致使合同有变更必要的，双方当事人应在5个工作日内以书面形式变更合同；</w:t>
      </w:r>
    </w:p>
    <w:p w14:paraId="210393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4.受不可抗力影响的一方在不可抗力发生后，应在3个工作日内以书面形式通知对方当事人，并在3个工作日内，将有关部门出具的证明文件送达对方当事人。</w:t>
      </w:r>
    </w:p>
    <w:p w14:paraId="16F7320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十八、 税费</w:t>
      </w:r>
    </w:p>
    <w:p w14:paraId="6FC4634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14:paraId="7A9581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十九、乙方破产</w:t>
      </w:r>
    </w:p>
    <w:p w14:paraId="6E53731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A1436F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二十、合同中止、终止</w:t>
      </w:r>
    </w:p>
    <w:p w14:paraId="5DA0A8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1.双方当事人不得擅自中止或者终止合同；</w:t>
      </w:r>
    </w:p>
    <w:p w14:paraId="53E86DE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2.双方当事人应当中止或者终止合同，有过错的一方应当承担赔偿责任，双方当事人都有过错的，各自承担相应的责任；</w:t>
      </w:r>
    </w:p>
    <w:p w14:paraId="3917E14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3.双方完成合同所有约定内容（含质保要求）视为合同终止；若在合同有效期之前完成的，提前终止合同，无须再另行签订终止补充协议，甲方按合同约定要求及时退还乙方履约保证金。</w:t>
      </w:r>
    </w:p>
    <w:p w14:paraId="413399E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4.出现违约行为的，甲方有权终止或解除合同。</w:t>
      </w:r>
    </w:p>
    <w:p w14:paraId="19388E7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二十一、 通知和送达</w:t>
      </w:r>
    </w:p>
    <w:p w14:paraId="2581E4D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1.任何一方与履行合同等相关事宜通过所列明的电子邮件发出的所有通知、文件、材料，均视为已向对方当事人送达；任何一方与履行合同等相关事宜通过甲方采购平台推送至对方账号的所有通知、文件、材料</w:t>
      </w:r>
      <w:r>
        <w:rPr>
          <w:rFonts w:hint="eastAsia" w:ascii="宋体" w:hAnsi="宋体" w:eastAsia="宋体" w:cs="宋体"/>
          <w:color w:val="auto"/>
          <w:sz w:val="24"/>
          <w:highlight w:val="none"/>
          <w:lang w:eastAsia="zh-CN"/>
        </w:rPr>
        <w:t>均</w:t>
      </w:r>
      <w:r>
        <w:rPr>
          <w:rFonts w:hint="eastAsia" w:ascii="宋体" w:hAnsi="宋体" w:eastAsia="宋体" w:cs="宋体"/>
          <w:color w:val="auto"/>
          <w:sz w:val="24"/>
          <w:highlight w:val="none"/>
        </w:rPr>
        <w:t>视为已向对方当事人送达；任何一方变更上述送达方式或者地址的，应于3个工作日内书面通知对方当事人，在对方当事人收到有关变更通知之前，变更前的约定送达方式或者地址仍视为有效。</w:t>
      </w:r>
    </w:p>
    <w:p w14:paraId="6A4CBBE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当面交付方式送达的，交付之时视为送达；以电子邮件方式送达的，发出电子邮件之时视为送达；以甲方采购平台推送的，推送成功之时视为送达；以邮寄方式送达的，邮件挂号寄出或者交邮之日之次日视为送达。</w:t>
      </w:r>
    </w:p>
    <w:p w14:paraId="2A8E66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二十二、合同争议的解决</w:t>
      </w:r>
    </w:p>
    <w:p w14:paraId="545B2A2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本合同履行过程中发生的任何争议，双方当事人均可通过和解或者调解解决；不愿和解、调解或者和解、调解不成的，向甲方所在地人民法院起诉。</w:t>
      </w:r>
    </w:p>
    <w:p w14:paraId="612D40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二十三、合同生效</w:t>
      </w:r>
    </w:p>
    <w:p w14:paraId="07EAC4D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本合同自双方盖章、签字时生效。合同份数按一式四份规定，甲方三份，乙方一份，附件1廉洁协议为本合同不可分割的一部分，均具有同等法律效力。</w:t>
      </w:r>
    </w:p>
    <w:p w14:paraId="35BF7A0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以下无正文，为签字页。</w:t>
      </w:r>
    </w:p>
    <w:p w14:paraId="06CBCEE2">
      <w:pPr>
        <w:spacing w:line="400" w:lineRule="exact"/>
        <w:jc w:val="center"/>
        <w:rPr>
          <w:rFonts w:hint="eastAsia" w:ascii="宋体" w:hAnsi="宋体" w:eastAsia="宋体" w:cs="宋体"/>
          <w:b/>
          <w:color w:val="auto"/>
          <w:sz w:val="24"/>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05D7CBF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AE09F0B">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03FBA26D">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乙方：</w:t>
            </w:r>
            <w:r>
              <w:rPr>
                <w:rFonts w:hint="eastAsia" w:ascii="宋体" w:hAnsi="宋体" w:eastAsia="宋体" w:cs="宋体"/>
                <w:color w:val="auto"/>
                <w:sz w:val="24"/>
                <w:highlight w:val="none"/>
              </w:rPr>
              <w:t xml:space="preserve"> ***公司 </w:t>
            </w:r>
          </w:p>
        </w:tc>
      </w:tr>
      <w:tr w14:paraId="62029C1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C5E1E13">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6A17A6D3">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w:t>
            </w:r>
          </w:p>
        </w:tc>
      </w:tr>
      <w:tr w14:paraId="3438CD7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C91037E">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7C8B049E">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w:t>
            </w:r>
          </w:p>
        </w:tc>
      </w:tr>
      <w:tr w14:paraId="5EB3CA5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4659EAB">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r>
              <w:rPr>
                <w:rFonts w:hint="eastAsia" w:ascii="宋体" w:hAnsi="宋体" w:eastAsia="宋体" w:cs="宋体"/>
                <w:color w:val="auto"/>
                <w:sz w:val="24"/>
                <w:highlight w:val="none"/>
              </w:rPr>
              <w:t>：LJHJ_CG1@LJHJNY.COM</w:t>
            </w:r>
          </w:p>
        </w:tc>
        <w:tc>
          <w:tcPr>
            <w:tcW w:w="5220" w:type="dxa"/>
            <w:tcBorders>
              <w:top w:val="dotted" w:color="auto" w:sz="4" w:space="0"/>
              <w:left w:val="dotted" w:color="auto" w:sz="4" w:space="0"/>
              <w:bottom w:val="dotted" w:color="auto" w:sz="4" w:space="0"/>
              <w:right w:val="dotted" w:color="auto" w:sz="4" w:space="0"/>
            </w:tcBorders>
          </w:tcPr>
          <w:p w14:paraId="35CE6868">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p>
        </w:tc>
      </w:tr>
      <w:tr w14:paraId="7E275B8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2EEE2B2">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242772AB">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r>
      <w:tr w14:paraId="519A045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7A73B46">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4877D61B">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开户银行：</w:t>
            </w:r>
          </w:p>
        </w:tc>
      </w:tr>
      <w:tr w14:paraId="5195B3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65B5207">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19697191">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开户账号：</w:t>
            </w:r>
          </w:p>
        </w:tc>
      </w:tr>
    </w:tbl>
    <w:p w14:paraId="250389CD">
      <w:pPr>
        <w:spacing w:line="400" w:lineRule="exact"/>
        <w:jc w:val="center"/>
        <w:rPr>
          <w:rFonts w:hint="eastAsia" w:ascii="宋体" w:hAnsi="宋体" w:eastAsia="宋体" w:cs="宋体"/>
          <w:b/>
          <w:color w:val="auto"/>
          <w:sz w:val="24"/>
          <w:highlight w:val="none"/>
        </w:rPr>
      </w:pPr>
    </w:p>
    <w:p w14:paraId="18F80C8B">
      <w:pPr>
        <w:pStyle w:val="26"/>
        <w:spacing w:line="400" w:lineRule="exact"/>
        <w:ind w:left="0" w:leftChars="0" w:firstLine="0" w:firstLineChars="0"/>
        <w:rPr>
          <w:rFonts w:hint="eastAsia" w:ascii="宋体" w:hAnsi="宋体" w:cs="宋体"/>
          <w:b/>
          <w:color w:val="auto"/>
          <w:szCs w:val="24"/>
          <w:highlight w:val="none"/>
        </w:rPr>
      </w:pPr>
    </w:p>
    <w:p w14:paraId="05D7D2CB">
      <w:pPr>
        <w:pStyle w:val="26"/>
        <w:spacing w:line="400" w:lineRule="exact"/>
        <w:ind w:left="0" w:leftChars="0" w:firstLine="0" w:firstLineChars="0"/>
        <w:jc w:val="center"/>
        <w:rPr>
          <w:rFonts w:hint="eastAsia" w:ascii="宋体" w:hAnsi="宋体" w:cs="宋体"/>
          <w:b/>
          <w:color w:val="auto"/>
          <w:szCs w:val="24"/>
          <w:highlight w:val="none"/>
        </w:rPr>
      </w:pPr>
    </w:p>
    <w:p w14:paraId="259F6006">
      <w:pPr>
        <w:pStyle w:val="10"/>
        <w:ind w:firstLine="482"/>
        <w:rPr>
          <w:rFonts w:hint="eastAsia" w:cs="宋体"/>
          <w:b/>
          <w:color w:val="auto"/>
          <w:highlight w:val="none"/>
        </w:rPr>
      </w:pPr>
      <w:r>
        <w:rPr>
          <w:rFonts w:cs="宋体"/>
          <w:b/>
          <w:color w:val="auto"/>
          <w:highlight w:val="none"/>
        </w:rPr>
        <w:br w:type="page"/>
      </w:r>
    </w:p>
    <w:p w14:paraId="3FF1FB47">
      <w:pPr>
        <w:pStyle w:val="26"/>
        <w:spacing w:line="400" w:lineRule="exact"/>
        <w:ind w:left="0" w:leftChars="0"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附件1</w:t>
      </w:r>
    </w:p>
    <w:p w14:paraId="5BFD4F85">
      <w:pPr>
        <w:pStyle w:val="10"/>
        <w:ind w:firstLine="482"/>
        <w:jc w:val="center"/>
        <w:rPr>
          <w:rFonts w:hint="eastAsia"/>
          <w:color w:val="auto"/>
          <w:highlight w:val="none"/>
        </w:rPr>
      </w:pPr>
      <w:r>
        <w:rPr>
          <w:rFonts w:cs="宋体"/>
          <w:b/>
          <w:color w:val="auto"/>
          <w:highlight w:val="none"/>
        </w:rPr>
        <w:t>廉洁协议</w:t>
      </w:r>
    </w:p>
    <w:p w14:paraId="3F7F92B3">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63B8BA9D">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***公司            </w:t>
      </w:r>
    </w:p>
    <w:p w14:paraId="274389D3">
      <w:pPr>
        <w:adjustRightInd w:val="0"/>
        <w:spacing w:line="400" w:lineRule="exact"/>
        <w:ind w:left="1" w:right="77" w:firstLine="426"/>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39D3D643">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一、甲、乙双方约定</w:t>
      </w:r>
    </w:p>
    <w:p w14:paraId="46880965">
      <w:pPr>
        <w:adjustRightInd w:val="0"/>
        <w:spacing w:line="400" w:lineRule="exact"/>
        <w:ind w:right="115"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1.甲、乙双方应共同严格遵守国家和省市以及采购人主管部门关于市场准入、项目招标投标、市场经济活动等有关法律法规和相关政策，以及项目廉政建设的各项规定。</w:t>
      </w:r>
    </w:p>
    <w:p w14:paraId="668D69ED">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2.甲、乙双方应认真执行双方签订的合同文件，  自觉按合同约定履行责任。</w:t>
      </w:r>
    </w:p>
    <w:p w14:paraId="4531386C">
      <w:pPr>
        <w:adjustRightInd w:val="0"/>
        <w:spacing w:line="400" w:lineRule="exact"/>
        <w:ind w:left="4"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14:paraId="279C95D0">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4.甲、乙双方有对本方人员开展廉政告知、廉政教育和职业道德教育的义务。</w:t>
      </w:r>
    </w:p>
    <w:p w14:paraId="590C3302">
      <w:pPr>
        <w:adjustRightInd w:val="0"/>
        <w:spacing w:line="400" w:lineRule="exact"/>
        <w:ind w:left="3"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5.甲、乙双方应加强对本方人员廉政监督，建立健全廉政制度，认真严肃查处本方人员违法违纪行为。</w:t>
      </w:r>
    </w:p>
    <w:p w14:paraId="332CC600">
      <w:pPr>
        <w:adjustRightInd w:val="0"/>
        <w:spacing w:line="400" w:lineRule="exact"/>
        <w:ind w:right="77"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6.甲、乙双方如发现对方人员在业务活动中有违规、违纪、违法行为的，应及时提醒对方并督促其纠正，或直接向对方法定代表人、纪检监察部门及检察机关如实反映情况。</w:t>
      </w:r>
    </w:p>
    <w:p w14:paraId="4D768092">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二、甲方（含甲方人员）廉政责任</w:t>
      </w:r>
    </w:p>
    <w:p w14:paraId="092D6A1E">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1.不得接受乙方或向乙方索取或以借用为名占用乙方的任何财物；不得接受乙方的礼金、</w:t>
      </w:r>
    </w:p>
    <w:p w14:paraId="73F9C908">
      <w:pPr>
        <w:adjustRightInd w:val="0"/>
        <w:spacing w:line="400" w:lineRule="exact"/>
        <w:ind w:left="4" w:hanging="3"/>
        <w:rPr>
          <w:rFonts w:hint="eastAsia"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5D38700E">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23896B6B">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3.不得利用职务便利向乙方介绍或指定工程分包单位（或个人）、物资供应商；不得利用职务便利向乙方推销或指定使用物资设备等。</w:t>
      </w:r>
    </w:p>
    <w:p w14:paraId="368AADEB">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4.不得接受乙方购置的或长期提供的通信工具、交通工具等。</w:t>
      </w:r>
    </w:p>
    <w:p w14:paraId="4ED602A2">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5.对无法拒绝的乙方及其个人所送的钱物，受礼者自收受之日起一个月内上交至甲方监察审计部门。</w:t>
      </w:r>
    </w:p>
    <w:p w14:paraId="3C567DCC">
      <w:pPr>
        <w:adjustRightInd w:val="0"/>
        <w:spacing w:line="400" w:lineRule="exact"/>
        <w:ind w:left="244" w:leftChars="116" w:right="3503"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6.对乙方提供的有关信息，应及时调查处理并反馈结果。</w:t>
      </w:r>
    </w:p>
    <w:p w14:paraId="5B553CB0">
      <w:pPr>
        <w:adjustRightInd w:val="0"/>
        <w:spacing w:line="400" w:lineRule="exact"/>
        <w:ind w:left="244" w:leftChars="116" w:right="3503" w:firstLine="477" w:firstLineChars="19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三、乙方（含乙方人员）廉政责任</w:t>
      </w:r>
    </w:p>
    <w:p w14:paraId="1121193B">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34A47950">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77A152BE">
      <w:pPr>
        <w:adjustRightInd w:val="0"/>
        <w:spacing w:line="400" w:lineRule="exact"/>
        <w:ind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3.不得接受甲方介绍或指定的工程分包单位和物资供应商；不得接受甲方推销或指定使用的物资设备。</w:t>
      </w:r>
    </w:p>
    <w:p w14:paraId="650B6FAC">
      <w:pPr>
        <w:adjustRightIn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4.不得以任何理由为甲方及其工作人员购置或长期提供通信工具、交通工具等。</w:t>
      </w:r>
    </w:p>
    <w:p w14:paraId="781321AA">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5.对甲方及其个人索要钱物、介绍或指定工程分包单位和物资供应商、推销或指定使用物资设备、借用占用车辆等行为予以拒绝，并及时主动向乙方上级纪检监察组织报告。</w:t>
      </w:r>
    </w:p>
    <w:p w14:paraId="3867D931">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6.对甲方提供的乙方（含乙方人员）违纪违规有关信息，应及时调查处理并反馈结果。</w:t>
      </w:r>
    </w:p>
    <w:p w14:paraId="5F94C46E">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7.乙方不得以任何理由为甲方及其工作人员组织有可能影响公正执行公务的宴请和各类休闲娱乐等活动。</w:t>
      </w:r>
    </w:p>
    <w:p w14:paraId="1F99887E">
      <w:pPr>
        <w:adjustRightInd w:val="0"/>
        <w:spacing w:line="400" w:lineRule="exact"/>
        <w:ind w:right="9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8.乙方及其工作人员必须严格按照有关规程办事，不得与其他单位互相串通，损害甲方利益。</w:t>
      </w:r>
    </w:p>
    <w:p w14:paraId="272C232E">
      <w:pPr>
        <w:adjustRightInd w:val="0"/>
        <w:spacing w:line="400" w:lineRule="exact"/>
        <w:ind w:right="90"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四、违约责任</w:t>
      </w:r>
    </w:p>
    <w:p w14:paraId="2938A364">
      <w:pPr>
        <w:adjustRightInd w:val="0"/>
        <w:spacing w:line="400" w:lineRule="exact"/>
        <w:ind w:left="3" w:right="24" w:firstLine="506" w:firstLineChars="211"/>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4E7A74EC">
      <w:pPr>
        <w:adjustRightInd w:val="0"/>
        <w:spacing w:line="400" w:lineRule="exact"/>
        <w:ind w:left="4"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061F1979">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2.乙方贿赂甲方人员的，被纪检监察部门或检察机关立案查处的，甲方有权终止项目合同，由此造成甲方的损失以及一切费用均由乙方承担。</w:t>
      </w:r>
    </w:p>
    <w:p w14:paraId="3DAE7AFA">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3.甲乙双方不履行协议约定义务的，应将责任人调离本项目并按规定予以处理，且双方有义务将有关责任人的责任追究情况通报对方。</w:t>
      </w:r>
    </w:p>
    <w:p w14:paraId="09EB89FE">
      <w:pPr>
        <w:adjustRightInd w:val="0"/>
        <w:spacing w:line="400" w:lineRule="exact"/>
        <w:ind w:left="5"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0C552877">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5.由于甲乙双方单位或工作人员个人行为造成违约的，双方承担上述违约责任。</w:t>
      </w:r>
    </w:p>
    <w:p w14:paraId="0ADB644F">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6.甲乙双方在履行协议中发生争议，一方有权向对方上级单位主管部门和纪检监察部门反映情况并要求帮助解决争议。</w:t>
      </w:r>
    </w:p>
    <w:p w14:paraId="464EBD8C">
      <w:pPr>
        <w:adjustRightInd w:val="0"/>
        <w:spacing w:line="400" w:lineRule="exact"/>
        <w:ind w:firstLine="492" w:firstLineChars="20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五、有效期</w:t>
      </w:r>
    </w:p>
    <w:p w14:paraId="50171015">
      <w:pPr>
        <w:adjustRightInd w:val="0"/>
        <w:spacing w:line="400" w:lineRule="exact"/>
        <w:ind w:firstLine="489" w:firstLineChars="204"/>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278BD613">
      <w:pPr>
        <w:rPr>
          <w:rFonts w:hint="eastAsia" w:ascii="宋体" w:hAnsi="宋体" w:eastAsia="宋体" w:cs="宋体"/>
          <w:color w:val="auto"/>
          <w:kern w:val="0"/>
          <w:szCs w:val="21"/>
          <w:highlight w:val="none"/>
          <w:lang w:bidi="ar"/>
        </w:rPr>
      </w:pPr>
    </w:p>
    <w:p w14:paraId="318411EC">
      <w:pPr>
        <w:snapToGrid w:val="0"/>
        <w:spacing w:line="460" w:lineRule="exact"/>
        <w:rPr>
          <w:rFonts w:hint="eastAsia" w:ascii="宋体" w:hAnsi="宋体" w:eastAsia="宋体" w:cs="宋体"/>
          <w:b/>
          <w:color w:val="auto"/>
          <w:sz w:val="36"/>
          <w:szCs w:val="36"/>
          <w:highlight w:val="none"/>
        </w:rPr>
      </w:pPr>
    </w:p>
    <w:p w14:paraId="6ABB5EFB">
      <w:pPr>
        <w:snapToGrid w:val="0"/>
        <w:spacing w:line="460" w:lineRule="exact"/>
        <w:rPr>
          <w:rFonts w:hint="eastAsia" w:ascii="宋体" w:hAnsi="宋体" w:eastAsia="宋体" w:cs="宋体"/>
          <w:b/>
          <w:color w:val="auto"/>
          <w:sz w:val="36"/>
          <w:szCs w:val="36"/>
          <w:highlight w:val="none"/>
        </w:rPr>
      </w:pPr>
    </w:p>
    <w:p w14:paraId="7623EF9E">
      <w:pPr>
        <w:pStyle w:val="16"/>
        <w:rPr>
          <w:rFonts w:hint="eastAsia" w:ascii="宋体" w:hAnsi="宋体" w:eastAsia="宋体" w:cs="宋体"/>
          <w:b/>
          <w:color w:val="auto"/>
          <w:sz w:val="36"/>
          <w:szCs w:val="36"/>
          <w:highlight w:val="none"/>
        </w:rPr>
      </w:pPr>
    </w:p>
    <w:p w14:paraId="486CCCDA">
      <w:pPr>
        <w:rPr>
          <w:rFonts w:hint="eastAsia" w:ascii="宋体" w:hAnsi="宋体" w:eastAsia="宋体" w:cs="宋体"/>
          <w:b/>
          <w:color w:val="auto"/>
          <w:sz w:val="36"/>
          <w:szCs w:val="36"/>
          <w:highlight w:val="none"/>
        </w:rPr>
      </w:pPr>
    </w:p>
    <w:p w14:paraId="0B87F6B2">
      <w:pPr>
        <w:pStyle w:val="16"/>
        <w:rPr>
          <w:rFonts w:hint="eastAsia" w:ascii="宋体" w:hAnsi="宋体" w:eastAsia="宋体" w:cs="宋体"/>
          <w:b/>
          <w:color w:val="auto"/>
          <w:sz w:val="36"/>
          <w:szCs w:val="36"/>
          <w:highlight w:val="none"/>
        </w:rPr>
      </w:pPr>
    </w:p>
    <w:p w14:paraId="4B11E8AC">
      <w:pPr>
        <w:rPr>
          <w:rFonts w:hint="eastAsia" w:ascii="宋体" w:hAnsi="宋体" w:eastAsia="宋体" w:cs="宋体"/>
          <w:b/>
          <w:color w:val="auto"/>
          <w:sz w:val="36"/>
          <w:szCs w:val="36"/>
          <w:highlight w:val="none"/>
        </w:rPr>
      </w:pPr>
    </w:p>
    <w:p w14:paraId="56BD1ED8">
      <w:pPr>
        <w:pStyle w:val="16"/>
        <w:rPr>
          <w:rFonts w:hint="eastAsia" w:ascii="宋体" w:hAnsi="宋体" w:eastAsia="宋体" w:cs="宋体"/>
          <w:b/>
          <w:color w:val="auto"/>
          <w:sz w:val="36"/>
          <w:szCs w:val="36"/>
          <w:highlight w:val="none"/>
        </w:rPr>
      </w:pPr>
    </w:p>
    <w:p w14:paraId="5E9C6601">
      <w:pPr>
        <w:rPr>
          <w:rFonts w:hint="eastAsia" w:ascii="宋体" w:hAnsi="宋体" w:eastAsia="宋体" w:cs="宋体"/>
          <w:b/>
          <w:color w:val="auto"/>
          <w:sz w:val="36"/>
          <w:szCs w:val="36"/>
          <w:highlight w:val="none"/>
        </w:rPr>
      </w:pPr>
    </w:p>
    <w:p w14:paraId="1D5BD446">
      <w:pPr>
        <w:rPr>
          <w:rFonts w:hint="eastAsia" w:ascii="宋体" w:hAnsi="宋体" w:eastAsia="宋体" w:cs="宋体"/>
          <w:b/>
          <w:color w:val="auto"/>
          <w:sz w:val="36"/>
          <w:szCs w:val="36"/>
          <w:highlight w:val="none"/>
        </w:rPr>
      </w:pPr>
    </w:p>
    <w:p w14:paraId="5B4AB778">
      <w:pPr>
        <w:rPr>
          <w:rFonts w:hint="eastAsia" w:ascii="宋体" w:hAnsi="宋体" w:eastAsia="宋体" w:cs="宋体"/>
          <w:b/>
          <w:color w:val="auto"/>
          <w:sz w:val="36"/>
          <w:szCs w:val="36"/>
          <w:highlight w:val="none"/>
        </w:rPr>
      </w:pPr>
    </w:p>
    <w:p w14:paraId="36FDDC6F">
      <w:pPr>
        <w:rPr>
          <w:rFonts w:hint="eastAsia" w:ascii="宋体" w:hAnsi="宋体" w:eastAsia="宋体" w:cs="宋体"/>
          <w:b/>
          <w:color w:val="auto"/>
          <w:sz w:val="36"/>
          <w:szCs w:val="36"/>
          <w:highlight w:val="none"/>
        </w:rPr>
      </w:pPr>
    </w:p>
    <w:p w14:paraId="5EEBBFD9">
      <w:pPr>
        <w:rPr>
          <w:rFonts w:hint="eastAsia" w:ascii="宋体" w:hAnsi="宋体" w:eastAsia="宋体" w:cs="宋体"/>
          <w:b/>
          <w:color w:val="auto"/>
          <w:sz w:val="36"/>
          <w:szCs w:val="36"/>
          <w:highlight w:val="none"/>
        </w:rPr>
      </w:pPr>
    </w:p>
    <w:bookmarkEnd w:id="392"/>
    <w:bookmarkEnd w:id="393"/>
    <w:bookmarkEnd w:id="394"/>
    <w:p w14:paraId="50E8ED9D">
      <w:pPr>
        <w:rPr>
          <w:color w:val="auto"/>
          <w:highlight w:val="none"/>
        </w:rPr>
      </w:pPr>
    </w:p>
    <w:p w14:paraId="58573244">
      <w:pPr>
        <w:rPr>
          <w:color w:val="auto"/>
          <w:highlight w:val="none"/>
        </w:rPr>
      </w:pPr>
    </w:p>
    <w:p w14:paraId="5E46FEBF">
      <w:pPr>
        <w:rPr>
          <w:color w:val="auto"/>
          <w:highlight w:val="none"/>
        </w:rPr>
      </w:pPr>
    </w:p>
    <w:p w14:paraId="341A3514">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12B256C1">
      <w:pPr>
        <w:pStyle w:val="16"/>
        <w:ind w:firstLine="640"/>
        <w:jc w:val="both"/>
        <w:rPr>
          <w:rFonts w:hint="eastAsia" w:eastAsia="宋体" w:cs="Times New Roman"/>
          <w:color w:val="auto"/>
          <w:sz w:val="32"/>
          <w:highlight w:val="none"/>
        </w:rPr>
      </w:pPr>
      <w:r>
        <w:rPr>
          <w:rFonts w:hint="eastAsia" w:eastAsia="宋体" w:cs="Times New Roman"/>
          <w:color w:val="auto"/>
          <w:sz w:val="32"/>
          <w:highlight w:val="none"/>
        </w:rPr>
        <w:t xml:space="preserve"> </w:t>
      </w:r>
    </w:p>
    <w:p w14:paraId="6CDC48CA">
      <w:pPr>
        <w:pStyle w:val="16"/>
        <w:ind w:firstLine="640"/>
        <w:jc w:val="both"/>
        <w:rPr>
          <w:rFonts w:hint="eastAsia" w:eastAsia="宋体" w:cs="Times New Roman"/>
          <w:color w:val="auto"/>
          <w:sz w:val="32"/>
          <w:highlight w:val="none"/>
        </w:rPr>
      </w:pPr>
    </w:p>
    <w:p w14:paraId="1C12B119">
      <w:pPr>
        <w:pStyle w:val="16"/>
        <w:ind w:firstLine="640"/>
        <w:jc w:val="both"/>
        <w:rPr>
          <w:rFonts w:hint="eastAsia" w:eastAsia="宋体" w:cs="Times New Roman"/>
          <w:color w:val="auto"/>
          <w:sz w:val="32"/>
          <w:highlight w:val="none"/>
          <w:lang w:val="en-US" w:eastAsia="zh-CN"/>
        </w:rPr>
      </w:pPr>
      <w:r>
        <w:rPr>
          <w:rFonts w:hint="eastAsia" w:eastAsia="宋体" w:cs="Times New Roman"/>
          <w:color w:val="auto"/>
          <w:sz w:val="32"/>
          <w:highlight w:val="none"/>
          <w:lang w:val="en-US" w:eastAsia="zh-CN"/>
        </w:rPr>
        <w:t>第一步：根据供应链系统管理平台填报各项资料及报价清单。</w:t>
      </w:r>
    </w:p>
    <w:p w14:paraId="7EFB1BE3">
      <w:pPr>
        <w:pStyle w:val="16"/>
        <w:ind w:firstLine="640"/>
        <w:jc w:val="both"/>
        <w:rPr>
          <w:rFonts w:hint="eastAsia" w:eastAsia="宋体" w:cs="Times New Roman"/>
          <w:color w:val="auto"/>
          <w:sz w:val="32"/>
          <w:highlight w:val="none"/>
          <w:lang w:val="en-US" w:eastAsia="zh-CN"/>
        </w:rPr>
      </w:pPr>
      <w:r>
        <w:rPr>
          <w:rFonts w:hint="eastAsia" w:eastAsia="宋体" w:cs="Times New Roman"/>
          <w:color w:val="auto"/>
          <w:sz w:val="32"/>
          <w:highlight w:val="none"/>
          <w:lang w:val="en-US" w:eastAsia="zh-CN"/>
        </w:rPr>
        <w:t>第二步：从供应链系统管理平台导出并打印响应文件PDF版。</w:t>
      </w:r>
    </w:p>
    <w:p w14:paraId="1763C032">
      <w:pPr>
        <w:pStyle w:val="16"/>
        <w:ind w:firstLine="640"/>
        <w:jc w:val="both"/>
        <w:rPr>
          <w:rFonts w:hint="default" w:eastAsia="宋体" w:cs="Times New Roman"/>
          <w:color w:val="auto"/>
          <w:sz w:val="32"/>
          <w:highlight w:val="none"/>
          <w:lang w:val="en-US" w:eastAsia="zh-CN"/>
        </w:rPr>
      </w:pPr>
      <w:r>
        <w:rPr>
          <w:rFonts w:hint="eastAsia" w:eastAsia="宋体" w:cs="Times New Roman"/>
          <w:color w:val="auto"/>
          <w:sz w:val="32"/>
          <w:highlight w:val="none"/>
          <w:lang w:val="en-US" w:eastAsia="zh-CN"/>
        </w:rPr>
        <w:t>第三步：按要求对相应文件签字并盖章。</w:t>
      </w:r>
    </w:p>
    <w:p w14:paraId="5B84A073">
      <w:pPr>
        <w:pStyle w:val="16"/>
        <w:ind w:firstLine="640"/>
        <w:jc w:val="both"/>
        <w:rPr>
          <w:rFonts w:hint="default" w:eastAsia="宋体" w:cs="Times New Roman"/>
          <w:color w:val="auto"/>
          <w:sz w:val="32"/>
          <w:highlight w:val="none"/>
          <w:lang w:val="en-US" w:eastAsia="zh-CN"/>
        </w:rPr>
      </w:pPr>
      <w:r>
        <w:rPr>
          <w:rFonts w:hint="eastAsia" w:eastAsia="宋体" w:cs="Times New Roman"/>
          <w:color w:val="auto"/>
          <w:sz w:val="32"/>
          <w:highlight w:val="none"/>
          <w:lang w:val="en-US" w:eastAsia="zh-CN"/>
        </w:rPr>
        <w:t>第四步：扫描签字盖章后的响应文件成PDF格式并上传供应链系统管理平台。</w:t>
      </w:r>
    </w:p>
    <w:p w14:paraId="0FDD5B5C">
      <w:pPr>
        <w:pStyle w:val="16"/>
        <w:ind w:firstLine="640"/>
        <w:jc w:val="both"/>
        <w:rPr>
          <w:rFonts w:hint="default" w:eastAsia="宋体" w:cs="Times New Roman"/>
          <w:color w:val="auto"/>
          <w:sz w:val="32"/>
          <w:highlight w:val="none"/>
          <w:lang w:val="en-US" w:eastAsia="zh-CN"/>
        </w:rPr>
      </w:pPr>
      <w:r>
        <w:rPr>
          <w:rFonts w:hint="eastAsia" w:eastAsia="宋体" w:cs="Times New Roman"/>
          <w:color w:val="auto"/>
          <w:sz w:val="32"/>
          <w:highlight w:val="none"/>
          <w:lang w:val="en-US" w:eastAsia="zh-CN"/>
        </w:rPr>
        <w:t>第五步：提交响应文件。</w:t>
      </w:r>
    </w:p>
    <w:p w14:paraId="10BD441C">
      <w:pPr>
        <w:pStyle w:val="11"/>
        <w:spacing w:before="100" w:beforeAutospacing="1" w:after="100" w:afterAutospacing="1" w:line="360" w:lineRule="auto"/>
        <w:jc w:val="both"/>
        <w:rPr>
          <w:rFonts w:hint="eastAsia" w:cs="仿宋" w:asciiTheme="minorEastAsia" w:hAnsiTheme="minorEastAsia"/>
          <w:b/>
          <w:color w:val="auto"/>
          <w:spacing w:val="6"/>
          <w:sz w:val="32"/>
          <w:szCs w:val="32"/>
          <w:highlight w:val="none"/>
        </w:rPr>
      </w:pPr>
    </w:p>
    <w:p w14:paraId="42D5819D">
      <w:pPr>
        <w:pStyle w:val="8"/>
        <w:rPr>
          <w:rFonts w:hint="eastAsia" w:eastAsia="宋体" w:cs="Times New Roman"/>
          <w:color w:val="auto"/>
          <w:sz w:val="32"/>
          <w:highlight w:val="none"/>
        </w:rPr>
      </w:pPr>
      <w:r>
        <w:rPr>
          <w:rFonts w:hint="eastAsia" w:eastAsia="宋体" w:cs="Times New Roman"/>
          <w:color w:val="auto"/>
          <w:sz w:val="32"/>
          <w:highlight w:val="none"/>
        </w:rPr>
        <w:t xml:space="preserve">        </w:t>
      </w:r>
    </w:p>
    <w:p w14:paraId="5E0886BD">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75D69C2B">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4712730D">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25E6A136">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7C665D9D">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673EF1F4">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23A77E82">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7BDA14B9">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2A10BE8A">
      <w:pPr>
        <w:pStyle w:val="29"/>
        <w:adjustRightInd w:val="0"/>
        <w:spacing w:line="360" w:lineRule="auto"/>
        <w:jc w:val="center"/>
        <w:rPr>
          <w:rFonts w:hint="default" w:cs="仿宋" w:asciiTheme="minorEastAsia" w:hAnsiTheme="minorEastAsia"/>
          <w:bCs/>
          <w:color w:val="auto"/>
          <w:sz w:val="24"/>
          <w:highlight w:val="none"/>
          <w:u w:val="none"/>
          <w:lang w:val="en-US" w:eastAsia="zh-CN"/>
        </w:rPr>
      </w:pPr>
      <w:r>
        <w:rPr>
          <w:rFonts w:hint="eastAsia" w:cs="仿宋" w:asciiTheme="minorEastAsia" w:hAnsiTheme="minorEastAsia"/>
          <w:bCs/>
          <w:color w:val="auto"/>
          <w:sz w:val="24"/>
          <w:highlight w:val="none"/>
          <w:u w:val="none"/>
          <w:lang w:val="en-US" w:eastAsia="zh-CN"/>
        </w:rPr>
        <w:t>纳税规模查询</w:t>
      </w:r>
    </w:p>
    <w:p w14:paraId="774224FF">
      <w:pPr>
        <w:pStyle w:val="29"/>
        <w:adjustRightInd w:val="0"/>
        <w:spacing w:line="360" w:lineRule="auto"/>
        <w:ind w:firstLine="480" w:firstLineChars="200"/>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具体路径为：搜索国家</w:t>
      </w:r>
      <w:r>
        <w:rPr>
          <w:rFonts w:hint="eastAsia" w:cs="仿宋" w:asciiTheme="minorEastAsia" w:hAnsiTheme="minorEastAsia"/>
          <w:bCs/>
          <w:color w:val="auto"/>
          <w:sz w:val="24"/>
          <w:highlight w:val="none"/>
          <w:u w:val="none"/>
          <w:lang w:val="en-US" w:eastAsia="zh-CN"/>
        </w:rPr>
        <w:t>电子税务局-公众服务-一般纳税人资格查询</w:t>
      </w:r>
      <w:r>
        <w:rPr>
          <w:rFonts w:hint="eastAsia" w:cs="仿宋" w:asciiTheme="minorEastAsia" w:hAnsiTheme="minorEastAsia"/>
          <w:bCs/>
          <w:color w:val="auto"/>
          <w:sz w:val="24"/>
          <w:highlight w:val="none"/>
          <w:u w:val="none"/>
          <w:lang w:eastAsia="zh-CN"/>
        </w:rPr>
        <w:t>，如资格类型显示为一般纳税人，则</w:t>
      </w:r>
      <w:r>
        <w:rPr>
          <w:rFonts w:hint="eastAsia" w:cs="仿宋" w:asciiTheme="minorEastAsia" w:hAnsiTheme="minorEastAsia"/>
          <w:bCs/>
          <w:color w:val="auto"/>
          <w:sz w:val="24"/>
          <w:highlight w:val="none"/>
          <w:u w:val="none"/>
          <w:lang w:val="en-US" w:eastAsia="zh-CN"/>
        </w:rPr>
        <w:t>适用</w:t>
      </w:r>
      <w:r>
        <w:rPr>
          <w:rFonts w:hint="eastAsia" w:cs="仿宋" w:asciiTheme="minorEastAsia" w:hAnsiTheme="minorEastAsia"/>
          <w:bCs/>
          <w:color w:val="auto"/>
          <w:sz w:val="24"/>
          <w:highlight w:val="none"/>
          <w:u w:val="none"/>
          <w:lang w:eastAsia="zh-CN"/>
        </w:rPr>
        <w:t>税率为6%</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9%</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13%（</w:t>
      </w:r>
      <w:r>
        <w:rPr>
          <w:rFonts w:hint="eastAsia" w:cs="仿宋" w:asciiTheme="minorEastAsia" w:hAnsiTheme="minorEastAsia"/>
          <w:bCs/>
          <w:color w:val="auto"/>
          <w:sz w:val="24"/>
          <w:highlight w:val="none"/>
          <w:u w:val="none"/>
          <w:lang w:val="en-US" w:eastAsia="zh-CN"/>
        </w:rPr>
        <w:t>适用税率以具体项目内容为准</w:t>
      </w:r>
      <w:r>
        <w:rPr>
          <w:rFonts w:hint="eastAsia" w:cs="仿宋" w:asciiTheme="minorEastAsia" w:hAnsiTheme="minorEastAsia"/>
          <w:bCs/>
          <w:color w:val="auto"/>
          <w:sz w:val="24"/>
          <w:highlight w:val="none"/>
          <w:u w:val="none"/>
          <w:lang w:eastAsia="zh-CN"/>
        </w:rPr>
        <w:t>），如不显示则</w:t>
      </w:r>
      <w:r>
        <w:rPr>
          <w:rFonts w:hint="eastAsia" w:cs="仿宋" w:asciiTheme="minorEastAsia" w:hAnsiTheme="minorEastAsia"/>
          <w:bCs/>
          <w:color w:val="auto"/>
          <w:sz w:val="24"/>
          <w:highlight w:val="none"/>
          <w:u w:val="none"/>
          <w:lang w:val="en-US" w:eastAsia="zh-CN"/>
        </w:rPr>
        <w:t>为小规模纳税人</w:t>
      </w:r>
      <w:r>
        <w:rPr>
          <w:rFonts w:hint="eastAsia" w:cs="仿宋" w:asciiTheme="minorEastAsia" w:hAnsiTheme="minorEastAsia"/>
          <w:bCs/>
          <w:color w:val="auto"/>
          <w:sz w:val="24"/>
          <w:highlight w:val="none"/>
          <w:u w:val="none"/>
          <w:lang w:eastAsia="zh-CN"/>
        </w:rPr>
        <w:t>。</w:t>
      </w:r>
    </w:p>
    <w:p w14:paraId="3119EB7A">
      <w:pPr>
        <w:pStyle w:val="29"/>
        <w:adjustRightInd w:val="0"/>
        <w:spacing w:line="360" w:lineRule="auto"/>
        <w:ind w:firstLine="960" w:firstLineChars="400"/>
        <w:rPr>
          <w:rFonts w:hint="eastAsia" w:cs="仿宋" w:asciiTheme="minorEastAsia" w:hAnsiTheme="minorEastAsia"/>
          <w:bCs/>
          <w:color w:val="auto"/>
          <w:sz w:val="24"/>
          <w:highlight w:val="none"/>
          <w:u w:val="none"/>
          <w:lang w:val="en-US" w:eastAsia="zh-CN"/>
        </w:rPr>
      </w:pPr>
      <w:r>
        <w:rPr>
          <w:rFonts w:hint="eastAsia" w:cs="仿宋" w:asciiTheme="minorEastAsia" w:hAnsiTheme="minorEastAsia"/>
          <w:bCs/>
          <w:color w:val="auto"/>
          <w:sz w:val="24"/>
          <w:highlight w:val="none"/>
          <w:u w:val="none"/>
          <w:lang w:val="en-US" w:eastAsia="zh-CN"/>
        </w:rPr>
        <w:t>示例：</w:t>
      </w:r>
    </w:p>
    <w:p w14:paraId="3A0F4DE3">
      <w:pPr>
        <w:pStyle w:val="2"/>
        <w:rPr>
          <w:color w:val="auto"/>
          <w:highlight w:val="none"/>
        </w:rPr>
      </w:pPr>
    </w:p>
    <w:tbl>
      <w:tblPr>
        <w:tblStyle w:val="1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3BFC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2" w:hRule="atLeast"/>
          <w:jc w:val="center"/>
        </w:trPr>
        <w:tc>
          <w:tcPr>
            <w:tcW w:w="9180" w:type="dxa"/>
          </w:tcPr>
          <w:p w14:paraId="1069D547">
            <w:pPr>
              <w:pStyle w:val="29"/>
              <w:adjustRightInd w:val="0"/>
              <w:spacing w:line="360" w:lineRule="auto"/>
              <w:ind w:firstLine="480" w:firstLineChars="200"/>
              <w:rPr>
                <w:rFonts w:hint="eastAsia" w:cs="仿宋" w:asciiTheme="minorEastAsia" w:hAnsiTheme="minorEastAsia"/>
                <w:bCs/>
                <w:color w:val="auto"/>
                <w:sz w:val="24"/>
                <w:highlight w:val="none"/>
                <w:u w:val="none"/>
                <w:lang w:eastAsia="zh-CN"/>
              </w:rPr>
            </w:pPr>
          </w:p>
          <w:p w14:paraId="09AB3755">
            <w:pPr>
              <w:pStyle w:val="29"/>
              <w:adjustRightInd w:val="0"/>
              <w:spacing w:line="360" w:lineRule="auto"/>
              <w:ind w:firstLine="840" w:firstLineChars="400"/>
              <w:rPr>
                <w:rFonts w:hint="default" w:cs="仿宋" w:asciiTheme="minorEastAsia" w:hAnsiTheme="minorEastAsia"/>
                <w:bCs/>
                <w:color w:val="auto"/>
                <w:sz w:val="24"/>
                <w:highlight w:val="none"/>
                <w:u w:val="none"/>
                <w:lang w:val="en-US" w:eastAsia="zh-CN"/>
              </w:rPr>
            </w:pPr>
            <w:r>
              <w:rPr>
                <w:color w:val="auto"/>
                <w:highlight w:val="none"/>
              </w:rPr>
              <w:drawing>
                <wp:inline distT="0" distB="0" distL="114300" distR="114300">
                  <wp:extent cx="4620260" cy="1967865"/>
                  <wp:effectExtent l="0" t="0" r="889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9"/>
                          <a:stretch>
                            <a:fillRect/>
                          </a:stretch>
                        </pic:blipFill>
                        <pic:spPr>
                          <a:xfrm>
                            <a:off x="0" y="0"/>
                            <a:ext cx="4620260" cy="1967865"/>
                          </a:xfrm>
                          <a:prstGeom prst="rect">
                            <a:avLst/>
                          </a:prstGeom>
                          <a:noFill/>
                          <a:ln>
                            <a:noFill/>
                          </a:ln>
                        </pic:spPr>
                      </pic:pic>
                    </a:graphicData>
                  </a:graphic>
                </wp:inline>
              </w:drawing>
            </w:r>
          </w:p>
        </w:tc>
      </w:tr>
    </w:tbl>
    <w:p w14:paraId="1448F760">
      <w:pPr>
        <w:pStyle w:val="8"/>
        <w:rPr>
          <w:color w:val="auto"/>
          <w:highlight w:val="none"/>
        </w:rPr>
      </w:pPr>
    </w:p>
    <w:p w14:paraId="180ED617">
      <w:pPr>
        <w:pStyle w:val="16"/>
        <w:jc w:val="both"/>
        <w:rPr>
          <w:color w:val="auto"/>
          <w:highlight w:val="none"/>
        </w:rPr>
      </w:pPr>
    </w:p>
    <w:sectPr>
      <w:footerReference r:id="rId17"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2"/>
      <w:jc w:val="center"/>
      <w:rPr>
        <w:rFonts w:ascii="仿宋_GB2312" w:eastAsia="仿宋_GB2312" w:cs="Times New Roma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3"/>
      <w:jc w:val="right"/>
      <w:rPr>
        <w:rFonts w:ascii="仿宋" w:hAnsi="仿宋" w:eastAsia="仿宋" w:cs="仿宋"/>
        <w:i/>
        <w:iCs/>
      </w:rPr>
    </w:pPr>
  </w:p>
  <w:p w14:paraId="6B11FE6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3"/>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18F4A">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99686E"/>
    <w:multiLevelType w:val="singleLevel"/>
    <w:tmpl w:val="D899686E"/>
    <w:lvl w:ilvl="0" w:tentative="0">
      <w:start w:val="2"/>
      <w:numFmt w:val="decimal"/>
      <w:lvlText w:val="%1."/>
      <w:lvlJc w:val="left"/>
      <w:pPr>
        <w:tabs>
          <w:tab w:val="left" w:pos="312"/>
        </w:tabs>
      </w:pPr>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319A1"/>
    <w:rsid w:val="03C74493"/>
    <w:rsid w:val="03CA5C6D"/>
    <w:rsid w:val="049F12B5"/>
    <w:rsid w:val="04A70542"/>
    <w:rsid w:val="04CA5209"/>
    <w:rsid w:val="04E634F4"/>
    <w:rsid w:val="057311F3"/>
    <w:rsid w:val="05953E92"/>
    <w:rsid w:val="05A4392C"/>
    <w:rsid w:val="05B622F4"/>
    <w:rsid w:val="06803F38"/>
    <w:rsid w:val="06897EFF"/>
    <w:rsid w:val="07013F3A"/>
    <w:rsid w:val="07456D88"/>
    <w:rsid w:val="078B333A"/>
    <w:rsid w:val="07A67451"/>
    <w:rsid w:val="07C24B12"/>
    <w:rsid w:val="07D15ABF"/>
    <w:rsid w:val="07E2222A"/>
    <w:rsid w:val="07F244D8"/>
    <w:rsid w:val="087E795F"/>
    <w:rsid w:val="09104908"/>
    <w:rsid w:val="09B80D5D"/>
    <w:rsid w:val="09EC7123"/>
    <w:rsid w:val="09ED56C9"/>
    <w:rsid w:val="0AFF73BB"/>
    <w:rsid w:val="0B495292"/>
    <w:rsid w:val="0B4954E7"/>
    <w:rsid w:val="0B530D41"/>
    <w:rsid w:val="0B642BF8"/>
    <w:rsid w:val="0B652758"/>
    <w:rsid w:val="0B9D71A5"/>
    <w:rsid w:val="0BF7590B"/>
    <w:rsid w:val="0BFB22A3"/>
    <w:rsid w:val="0BFE313E"/>
    <w:rsid w:val="0C177D5B"/>
    <w:rsid w:val="0C2A044F"/>
    <w:rsid w:val="0C492847"/>
    <w:rsid w:val="0CF31D21"/>
    <w:rsid w:val="0D89320B"/>
    <w:rsid w:val="0D8B0B2E"/>
    <w:rsid w:val="0E317DA1"/>
    <w:rsid w:val="0E824D7A"/>
    <w:rsid w:val="0EC870E3"/>
    <w:rsid w:val="0F111837"/>
    <w:rsid w:val="0F2F6501"/>
    <w:rsid w:val="0F517BFF"/>
    <w:rsid w:val="0F81598B"/>
    <w:rsid w:val="0FB91E94"/>
    <w:rsid w:val="103F1EA4"/>
    <w:rsid w:val="10C76755"/>
    <w:rsid w:val="10CB7DEC"/>
    <w:rsid w:val="10CC054B"/>
    <w:rsid w:val="111E777C"/>
    <w:rsid w:val="11B04EDA"/>
    <w:rsid w:val="11C46A46"/>
    <w:rsid w:val="11C4717C"/>
    <w:rsid w:val="11D64215"/>
    <w:rsid w:val="11DD7313"/>
    <w:rsid w:val="11F35B37"/>
    <w:rsid w:val="1230601B"/>
    <w:rsid w:val="1241012A"/>
    <w:rsid w:val="12D86145"/>
    <w:rsid w:val="12E110C3"/>
    <w:rsid w:val="13175B3D"/>
    <w:rsid w:val="13551063"/>
    <w:rsid w:val="135A601C"/>
    <w:rsid w:val="137D0DEC"/>
    <w:rsid w:val="14036FD5"/>
    <w:rsid w:val="143E2438"/>
    <w:rsid w:val="14422232"/>
    <w:rsid w:val="14857D56"/>
    <w:rsid w:val="149D2B06"/>
    <w:rsid w:val="14DF7D0B"/>
    <w:rsid w:val="152B7330"/>
    <w:rsid w:val="152C0D1B"/>
    <w:rsid w:val="152F207E"/>
    <w:rsid w:val="15735EBE"/>
    <w:rsid w:val="15CB2DA0"/>
    <w:rsid w:val="16135A37"/>
    <w:rsid w:val="166F3635"/>
    <w:rsid w:val="16806E74"/>
    <w:rsid w:val="172A5E91"/>
    <w:rsid w:val="177B1AE6"/>
    <w:rsid w:val="17AF353E"/>
    <w:rsid w:val="17F53FEF"/>
    <w:rsid w:val="185870FA"/>
    <w:rsid w:val="185A544F"/>
    <w:rsid w:val="1876491B"/>
    <w:rsid w:val="18890233"/>
    <w:rsid w:val="18A60DE5"/>
    <w:rsid w:val="190D49C0"/>
    <w:rsid w:val="194A1770"/>
    <w:rsid w:val="198737C7"/>
    <w:rsid w:val="19976A31"/>
    <w:rsid w:val="19A15FDA"/>
    <w:rsid w:val="19DC6BDA"/>
    <w:rsid w:val="1A4B1C44"/>
    <w:rsid w:val="1A972372"/>
    <w:rsid w:val="1AA56FDE"/>
    <w:rsid w:val="1B1B25BA"/>
    <w:rsid w:val="1B324FAB"/>
    <w:rsid w:val="1B480AF9"/>
    <w:rsid w:val="1B7913A6"/>
    <w:rsid w:val="1C4D1232"/>
    <w:rsid w:val="1D61352C"/>
    <w:rsid w:val="1D882867"/>
    <w:rsid w:val="1DBC4C02"/>
    <w:rsid w:val="1DC64ADE"/>
    <w:rsid w:val="1DCF6B00"/>
    <w:rsid w:val="1DFA0457"/>
    <w:rsid w:val="1E0F5E35"/>
    <w:rsid w:val="1E5F5CBE"/>
    <w:rsid w:val="1E8307F5"/>
    <w:rsid w:val="1F457921"/>
    <w:rsid w:val="1FAD5F5A"/>
    <w:rsid w:val="1FDE13CF"/>
    <w:rsid w:val="20457135"/>
    <w:rsid w:val="2075762A"/>
    <w:rsid w:val="2091148E"/>
    <w:rsid w:val="20B13F02"/>
    <w:rsid w:val="20D12777"/>
    <w:rsid w:val="20FB672E"/>
    <w:rsid w:val="213339C4"/>
    <w:rsid w:val="21677697"/>
    <w:rsid w:val="219409C9"/>
    <w:rsid w:val="21C81DCC"/>
    <w:rsid w:val="226D415C"/>
    <w:rsid w:val="22885A35"/>
    <w:rsid w:val="228D26CE"/>
    <w:rsid w:val="22916FA5"/>
    <w:rsid w:val="22AF6673"/>
    <w:rsid w:val="22DE5C38"/>
    <w:rsid w:val="230E1A60"/>
    <w:rsid w:val="23922209"/>
    <w:rsid w:val="23C64579"/>
    <w:rsid w:val="23DE31E8"/>
    <w:rsid w:val="23EC5AE3"/>
    <w:rsid w:val="247C6E9E"/>
    <w:rsid w:val="24A51F50"/>
    <w:rsid w:val="253439CA"/>
    <w:rsid w:val="253A6D88"/>
    <w:rsid w:val="25650E5F"/>
    <w:rsid w:val="25674FDE"/>
    <w:rsid w:val="25C26B32"/>
    <w:rsid w:val="26010880"/>
    <w:rsid w:val="26C37006"/>
    <w:rsid w:val="26F15921"/>
    <w:rsid w:val="27B05B28"/>
    <w:rsid w:val="28515521"/>
    <w:rsid w:val="28D92620"/>
    <w:rsid w:val="294E0F60"/>
    <w:rsid w:val="29760BDE"/>
    <w:rsid w:val="298507F6"/>
    <w:rsid w:val="2987716A"/>
    <w:rsid w:val="29AE18A7"/>
    <w:rsid w:val="2A115178"/>
    <w:rsid w:val="2A1C39EA"/>
    <w:rsid w:val="2A29068E"/>
    <w:rsid w:val="2A413302"/>
    <w:rsid w:val="2A6366FF"/>
    <w:rsid w:val="2B3A586C"/>
    <w:rsid w:val="2B3D5BF4"/>
    <w:rsid w:val="2C4141D8"/>
    <w:rsid w:val="2C950AFD"/>
    <w:rsid w:val="2CBF127D"/>
    <w:rsid w:val="2D016C6B"/>
    <w:rsid w:val="2D210C4A"/>
    <w:rsid w:val="2D2878F0"/>
    <w:rsid w:val="2D2F064E"/>
    <w:rsid w:val="2E324FFE"/>
    <w:rsid w:val="2E7A56DC"/>
    <w:rsid w:val="2E9F315C"/>
    <w:rsid w:val="2EBA484A"/>
    <w:rsid w:val="2F4D3609"/>
    <w:rsid w:val="2F4F1871"/>
    <w:rsid w:val="2F5836E9"/>
    <w:rsid w:val="300206D5"/>
    <w:rsid w:val="30062480"/>
    <w:rsid w:val="30556F21"/>
    <w:rsid w:val="308C5F1F"/>
    <w:rsid w:val="30CE282F"/>
    <w:rsid w:val="31111553"/>
    <w:rsid w:val="31191AA6"/>
    <w:rsid w:val="314B6E80"/>
    <w:rsid w:val="31A05328"/>
    <w:rsid w:val="32843E96"/>
    <w:rsid w:val="328D13E8"/>
    <w:rsid w:val="32B92460"/>
    <w:rsid w:val="32C410E7"/>
    <w:rsid w:val="32EC2577"/>
    <w:rsid w:val="334341C1"/>
    <w:rsid w:val="339B7E86"/>
    <w:rsid w:val="33F2545E"/>
    <w:rsid w:val="3404140B"/>
    <w:rsid w:val="34155E66"/>
    <w:rsid w:val="34454474"/>
    <w:rsid w:val="34A043A8"/>
    <w:rsid w:val="34AF40BC"/>
    <w:rsid w:val="34D90264"/>
    <w:rsid w:val="350E5845"/>
    <w:rsid w:val="352C7147"/>
    <w:rsid w:val="35356888"/>
    <w:rsid w:val="36043E6C"/>
    <w:rsid w:val="36153304"/>
    <w:rsid w:val="36162BCB"/>
    <w:rsid w:val="364530C9"/>
    <w:rsid w:val="36A71B58"/>
    <w:rsid w:val="37103BA1"/>
    <w:rsid w:val="37514AF4"/>
    <w:rsid w:val="377C0298"/>
    <w:rsid w:val="37B04D36"/>
    <w:rsid w:val="37C65D75"/>
    <w:rsid w:val="37D2523E"/>
    <w:rsid w:val="38DB0C51"/>
    <w:rsid w:val="39C31C6C"/>
    <w:rsid w:val="3A0E5FD4"/>
    <w:rsid w:val="3A12693C"/>
    <w:rsid w:val="3A207904"/>
    <w:rsid w:val="3A314864"/>
    <w:rsid w:val="3A6303AE"/>
    <w:rsid w:val="3A836438"/>
    <w:rsid w:val="3A993EAE"/>
    <w:rsid w:val="3AB61186"/>
    <w:rsid w:val="3AF15A98"/>
    <w:rsid w:val="3C283344"/>
    <w:rsid w:val="3C3B55E2"/>
    <w:rsid w:val="3C485F9D"/>
    <w:rsid w:val="3C7C70D7"/>
    <w:rsid w:val="3C940DD1"/>
    <w:rsid w:val="3C983DDE"/>
    <w:rsid w:val="3CF016DE"/>
    <w:rsid w:val="3D7804A8"/>
    <w:rsid w:val="3D9C2487"/>
    <w:rsid w:val="3E0C6463"/>
    <w:rsid w:val="3E32264F"/>
    <w:rsid w:val="3EE43BF5"/>
    <w:rsid w:val="3F6D76B7"/>
    <w:rsid w:val="3F731A2C"/>
    <w:rsid w:val="403E57B7"/>
    <w:rsid w:val="405363C6"/>
    <w:rsid w:val="411A0F39"/>
    <w:rsid w:val="41313092"/>
    <w:rsid w:val="415A5C88"/>
    <w:rsid w:val="41CE08E1"/>
    <w:rsid w:val="41FB544E"/>
    <w:rsid w:val="42112513"/>
    <w:rsid w:val="42181B5C"/>
    <w:rsid w:val="42235DCF"/>
    <w:rsid w:val="43263FCE"/>
    <w:rsid w:val="433C7ACC"/>
    <w:rsid w:val="435518AD"/>
    <w:rsid w:val="43C04259"/>
    <w:rsid w:val="43C354C4"/>
    <w:rsid w:val="44A040E0"/>
    <w:rsid w:val="44C67F95"/>
    <w:rsid w:val="4557347D"/>
    <w:rsid w:val="4559568A"/>
    <w:rsid w:val="45A47533"/>
    <w:rsid w:val="45D81BAB"/>
    <w:rsid w:val="45F97EF6"/>
    <w:rsid w:val="461B0944"/>
    <w:rsid w:val="46BC402D"/>
    <w:rsid w:val="472961BF"/>
    <w:rsid w:val="475528CD"/>
    <w:rsid w:val="477C3DB2"/>
    <w:rsid w:val="47B265AF"/>
    <w:rsid w:val="48455061"/>
    <w:rsid w:val="48D033E2"/>
    <w:rsid w:val="4916491B"/>
    <w:rsid w:val="496717C4"/>
    <w:rsid w:val="4A063A4F"/>
    <w:rsid w:val="4A2E67F8"/>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790788"/>
    <w:rsid w:val="50A13664"/>
    <w:rsid w:val="50EE1EB6"/>
    <w:rsid w:val="50F33EC0"/>
    <w:rsid w:val="51093060"/>
    <w:rsid w:val="516D42D4"/>
    <w:rsid w:val="51937E4D"/>
    <w:rsid w:val="51B442FE"/>
    <w:rsid w:val="51B96633"/>
    <w:rsid w:val="52383592"/>
    <w:rsid w:val="523875F5"/>
    <w:rsid w:val="52506204"/>
    <w:rsid w:val="52786308"/>
    <w:rsid w:val="52BE22AC"/>
    <w:rsid w:val="52C32122"/>
    <w:rsid w:val="52DB6B11"/>
    <w:rsid w:val="53FA1DF3"/>
    <w:rsid w:val="541A7921"/>
    <w:rsid w:val="541D55E2"/>
    <w:rsid w:val="548A0EFB"/>
    <w:rsid w:val="54AB2D04"/>
    <w:rsid w:val="54D61697"/>
    <w:rsid w:val="54E863CB"/>
    <w:rsid w:val="555D416B"/>
    <w:rsid w:val="557B35BC"/>
    <w:rsid w:val="55F91EDB"/>
    <w:rsid w:val="565C1CF5"/>
    <w:rsid w:val="56E235EF"/>
    <w:rsid w:val="571F3A0C"/>
    <w:rsid w:val="574E47D2"/>
    <w:rsid w:val="576D2F90"/>
    <w:rsid w:val="57730CE2"/>
    <w:rsid w:val="57DC32D5"/>
    <w:rsid w:val="57F2034A"/>
    <w:rsid w:val="58207565"/>
    <w:rsid w:val="58235318"/>
    <w:rsid w:val="5889510A"/>
    <w:rsid w:val="59121C77"/>
    <w:rsid w:val="595D2309"/>
    <w:rsid w:val="59DE0E09"/>
    <w:rsid w:val="59DF6851"/>
    <w:rsid w:val="5A283DD0"/>
    <w:rsid w:val="5AC14754"/>
    <w:rsid w:val="5ACD76EE"/>
    <w:rsid w:val="5AD36B10"/>
    <w:rsid w:val="5B091590"/>
    <w:rsid w:val="5B366E46"/>
    <w:rsid w:val="5B3D7F5F"/>
    <w:rsid w:val="5B460326"/>
    <w:rsid w:val="5C7B276E"/>
    <w:rsid w:val="5C9A592C"/>
    <w:rsid w:val="5CF8561A"/>
    <w:rsid w:val="5D1066F9"/>
    <w:rsid w:val="5D9E638A"/>
    <w:rsid w:val="5DEF2B4E"/>
    <w:rsid w:val="5DF85390"/>
    <w:rsid w:val="5E8E347A"/>
    <w:rsid w:val="5E9D760A"/>
    <w:rsid w:val="5F0279C4"/>
    <w:rsid w:val="5F944466"/>
    <w:rsid w:val="5FA677DB"/>
    <w:rsid w:val="5FBE7D8F"/>
    <w:rsid w:val="60470EFE"/>
    <w:rsid w:val="60844C26"/>
    <w:rsid w:val="60A9029A"/>
    <w:rsid w:val="60DA29A7"/>
    <w:rsid w:val="60FA16F8"/>
    <w:rsid w:val="61102202"/>
    <w:rsid w:val="6139287F"/>
    <w:rsid w:val="616D4934"/>
    <w:rsid w:val="61CA0C65"/>
    <w:rsid w:val="62A768B8"/>
    <w:rsid w:val="62C642C8"/>
    <w:rsid w:val="631B2246"/>
    <w:rsid w:val="6320666B"/>
    <w:rsid w:val="63CF15A0"/>
    <w:rsid w:val="64055963"/>
    <w:rsid w:val="657404BE"/>
    <w:rsid w:val="65A92947"/>
    <w:rsid w:val="661A50B7"/>
    <w:rsid w:val="665B123D"/>
    <w:rsid w:val="66976C44"/>
    <w:rsid w:val="66F30BCE"/>
    <w:rsid w:val="670F0CBE"/>
    <w:rsid w:val="673C0170"/>
    <w:rsid w:val="673E5F91"/>
    <w:rsid w:val="675A7875"/>
    <w:rsid w:val="677A6041"/>
    <w:rsid w:val="6796410E"/>
    <w:rsid w:val="67BC07C3"/>
    <w:rsid w:val="67D6317A"/>
    <w:rsid w:val="67D649B5"/>
    <w:rsid w:val="68C401D4"/>
    <w:rsid w:val="68ED6365"/>
    <w:rsid w:val="69FD60A8"/>
    <w:rsid w:val="6A4E3ABD"/>
    <w:rsid w:val="6AE63D7E"/>
    <w:rsid w:val="6B1FB0C7"/>
    <w:rsid w:val="6B462C2B"/>
    <w:rsid w:val="6B8359E9"/>
    <w:rsid w:val="6B8C5108"/>
    <w:rsid w:val="6B9E0FF1"/>
    <w:rsid w:val="6BD277B9"/>
    <w:rsid w:val="6C321620"/>
    <w:rsid w:val="6C5C4BB7"/>
    <w:rsid w:val="6CE30E35"/>
    <w:rsid w:val="6D83435B"/>
    <w:rsid w:val="6DA02882"/>
    <w:rsid w:val="6DA12E69"/>
    <w:rsid w:val="6DBB3B60"/>
    <w:rsid w:val="6DD2319A"/>
    <w:rsid w:val="6E2C6F5B"/>
    <w:rsid w:val="6EC10CED"/>
    <w:rsid w:val="6F0B4673"/>
    <w:rsid w:val="6F4831D1"/>
    <w:rsid w:val="700E4F44"/>
    <w:rsid w:val="70124E0E"/>
    <w:rsid w:val="70173239"/>
    <w:rsid w:val="703F45D4"/>
    <w:rsid w:val="711D3FA5"/>
    <w:rsid w:val="71C9107F"/>
    <w:rsid w:val="721A5B23"/>
    <w:rsid w:val="72B931C1"/>
    <w:rsid w:val="72CB03A1"/>
    <w:rsid w:val="730100E0"/>
    <w:rsid w:val="734A515C"/>
    <w:rsid w:val="73622537"/>
    <w:rsid w:val="738D03F5"/>
    <w:rsid w:val="73987BB2"/>
    <w:rsid w:val="73E442FB"/>
    <w:rsid w:val="73EF1E6D"/>
    <w:rsid w:val="73F46F6A"/>
    <w:rsid w:val="74173DA2"/>
    <w:rsid w:val="74AE0A3E"/>
    <w:rsid w:val="75465FCB"/>
    <w:rsid w:val="76471CF3"/>
    <w:rsid w:val="76723FC6"/>
    <w:rsid w:val="767B3727"/>
    <w:rsid w:val="767E5B01"/>
    <w:rsid w:val="76930879"/>
    <w:rsid w:val="76AE4262"/>
    <w:rsid w:val="76D349AC"/>
    <w:rsid w:val="770420D4"/>
    <w:rsid w:val="770E0166"/>
    <w:rsid w:val="771961FA"/>
    <w:rsid w:val="778F44F9"/>
    <w:rsid w:val="77C17FC5"/>
    <w:rsid w:val="77F2017E"/>
    <w:rsid w:val="784A6593"/>
    <w:rsid w:val="78827E52"/>
    <w:rsid w:val="78A551F0"/>
    <w:rsid w:val="78D36201"/>
    <w:rsid w:val="78F771D6"/>
    <w:rsid w:val="79017606"/>
    <w:rsid w:val="79D7762B"/>
    <w:rsid w:val="79EB254B"/>
    <w:rsid w:val="7A3E70B2"/>
    <w:rsid w:val="7BA82ABD"/>
    <w:rsid w:val="7BBD4F47"/>
    <w:rsid w:val="7BD227A0"/>
    <w:rsid w:val="7C757EAB"/>
    <w:rsid w:val="7D0A41BC"/>
    <w:rsid w:val="7D0A4B32"/>
    <w:rsid w:val="7D797C2B"/>
    <w:rsid w:val="7D823D52"/>
    <w:rsid w:val="7DA9320D"/>
    <w:rsid w:val="7DAC6A56"/>
    <w:rsid w:val="7DFD17FE"/>
    <w:rsid w:val="7E381ACE"/>
    <w:rsid w:val="7EC95942"/>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3"/>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paragraph" w:customStyle="1" w:styleId="37">
    <w:name w:val="Default"/>
    <w:unhideWhenUsed/>
    <w:qFormat/>
    <w:uiPriority w:val="99"/>
    <w:pPr>
      <w:widowControl w:val="0"/>
      <w:autoSpaceDE w:val="0"/>
      <w:autoSpaceDN w:val="0"/>
      <w:adjustRightInd w:val="0"/>
    </w:pPr>
    <w:rPr>
      <w:rFonts w:hint="eastAsia" w:ascii="仿宋" w:hAnsi="Calibri" w:eastAsia="仿宋"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56b7979d-6721-4a14-8f1f-9645772bb106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C6367BE</paraID>
      <start>9</start>
      <end>10</end>
      <status>unmodified</status>
      <modifiedWord/>
      <trackRevisions>false</trackRevisions>
    </reviewItem>
    <reviewItem>
      <errorID>64baa1b4-a83c-49cb-927f-415c8c54139a</errorID>
      <errorWord>:</errorWord>
      <group>L1_Format</group>
      <groupName>格式问题</groupName>
      <ability>L2_HalfPunc</ability>
      <abilityName>全半角检查</abilityName>
      <candidateList>
        <item>：</item>
      </candidateList>
      <explain>文本全半角错误。</explain>
      <paraID>332768D2</paraID>
      <start>4</start>
      <end>5</end>
      <status>unmodified</status>
      <modifiedWord/>
      <trackRevisions>false</trackRevisions>
    </reviewItem>
    <reviewItem>
      <errorID>1c9e3683-267e-4c4f-9984-0edaef48b935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42172347</paraID>
      <start>22</start>
      <end>23</end>
      <status>unmodified</status>
      <modifiedWord/>
      <trackRevisions>false</trackRevisions>
    </reviewItem>
    <reviewItem>
      <errorID>c273f7b9-c226-4893-8307-3568ab22c466</errorID>
      <errorWord>)</errorWord>
      <group>L1_Format</group>
      <groupName>格式问题</groupName>
      <ability>L2_HalfPunc</ability>
      <abilityName>全半角检查</abilityName>
      <candidateList>
        <item>）</item>
      </candidateList>
      <explain>文本全半角错误。</explain>
      <paraID>42172347</paraID>
      <start>169</start>
      <end>170</end>
      <status>unmodified</status>
      <modifiedWord/>
      <trackRevisions>false</trackRevisions>
    </reviewItem>
    <reviewItem>
      <errorID>6dd524ef-6f0e-45f3-936e-7c0640c6ec2a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4B6BF89B</paraID>
      <start>17</start>
      <end>18</end>
      <status>unmodified</status>
      <modifiedWord/>
      <trackRevisions>false</trackRevisions>
    </reviewItem>
    <reviewItem>
      <errorID>05211293-fa12-4f91-9259-f3562b78ed8d</errorID>
      <errorWord>(</errorWord>
      <group>L1_Format</group>
      <groupName>格式问题</groupName>
      <ability>L2_HalfPunc</ability>
      <abilityName>全半角检查</abilityName>
      <candidateList>
        <item>（</item>
      </candidateList>
      <explain>文本全半角错误。</explain>
      <paraID>3E7A4053</paraID>
      <start>18</start>
      <end>19</end>
      <status>unmodified</status>
      <modifiedWord/>
      <trackRevisions>false</trackRevisions>
    </reviewItem>
    <reviewItem>
      <errorID>9470b36b-e8f0-4e75-9d5a-6558c1a0033f</errorID>
      <errorWord>)</errorWord>
      <group>L1_Format</group>
      <groupName>格式问题</groupName>
      <ability>L2_HalfPunc</ability>
      <abilityName>全半角检查</abilityName>
      <candidateList>
        <item>）</item>
      </candidateList>
      <explain>文本全半角错误。</explain>
      <paraID>3E7A4053</paraID>
      <start>41</start>
      <end>42</end>
      <status>unmodified</status>
      <modifiedWord/>
      <trackRevisions>false</trackRevisions>
    </reviewItem>
    <reviewItem>
      <errorID>3f833160-a5a8-4c90-a487-21f4a388a677</errorID>
      <errorWord>(</errorWord>
      <group>L1_Format</group>
      <groupName>格式问题</groupName>
      <ability>L2_HalfPunc</ability>
      <abilityName>全半角检查</abilityName>
      <candidateList>
        <item>（</item>
      </candidateList>
      <explain>文本全半角错误。</explain>
      <paraID>3E7A4053</paraID>
      <start>50</start>
      <end>51</end>
      <status>unmodified</status>
      <modifiedWord/>
      <trackRevisions>false</trackRevisions>
    </reviewItem>
    <reviewItem>
      <errorID>fb1efd91-d47e-4111-8496-280b2b00b3a9</errorID>
      <errorWord>)</errorWord>
      <group>L1_Format</group>
      <groupName>格式问题</groupName>
      <ability>L2_HalfPunc</ability>
      <abilityName>全半角检查</abilityName>
      <candidateList>
        <item>）</item>
      </candidateList>
      <explain>文本全半角错误。</explain>
      <paraID>3E7A4053</paraID>
      <start>66</start>
      <end>67</end>
      <status>unmodified</status>
      <modifiedWord/>
      <trackRevisions>false</trackRevisions>
    </reviewItem>
    <reviewItem>
      <errorID>a85c10c7-9194-499d-9e31-3a786d2494d5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33DFBB82</paraID>
      <start>29</start>
      <end>30</end>
      <status>unmodified</status>
      <modifiedWord/>
      <trackRevisions>false</trackRevisions>
    </reviewItem>
    <reviewItem>
      <errorID>a534495c-64dd-4978-8cb8-145b14daef09</errorID>
      <errorWord>提出质疑</errorWord>
      <group>L1_Grammar</group>
      <groupName>语法问题</groupName>
      <ability>L2_Grammar</ability>
      <abilityName>语法错误</abilityName>
      <candidateList>
        <item>质疑</item>
      </candidateList>
      <explain>〈动〉提出疑问：～问难。</explain>
      <paraID>20FD738E</paraID>
      <start>91</start>
      <end>95</end>
      <status>unmodified</status>
      <modifiedWord/>
      <trackRevisions>false</trackRevisions>
    </reviewItem>
    <reviewItem>
      <errorID>9b056e38-f799-46d4-b462-ce4066d7d26e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27625805</paraID>
      <start>0</start>
      <end>2</end>
      <status>unmodified</status>
      <modifiedWord/>
      <trackRevisions>false</trackRevisions>
    </reviewItem>
    <reviewItem>
      <errorID>f1fafc0f-7268-44d7-846f-520fd9fffc3c</errorID>
      <errorWord>间</errorWord>
      <group>L1_Word</group>
      <groupName>字词问题</groupName>
      <ability>L2_Typo</ability>
      <abilityName>字词错误</abilityName>
      <candidateList>
        <item>间之</item>
      </candidateList>
      <explain/>
      <paraID>309E065A</paraID>
      <start>35</start>
      <end>36</end>
      <status>unmodified</status>
      <modifiedWord/>
      <trackRevisions>false</trackRevisions>
    </reviewItem>
    <reviewItem>
      <errorID>37c092e4-9018-47b9-9199-aee9b1320968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380CB3B1</paraID>
      <start>13</start>
      <end>14</end>
      <status>unmodified</status>
      <modifiedWord/>
      <trackRevisions>false</trackRevisions>
    </reviewItem>
    <reviewItem>
      <errorID>23c4b9ff-9e07-46b6-8d43-1b531b6140bf</errorID>
      <errorWord>(</errorWord>
      <group>L1_Format</group>
      <groupName>格式问题</groupName>
      <ability>L2_HalfPunc</ability>
      <abilityName>全半角检查</abilityName>
      <candidateList>
        <item>（</item>
      </candidateList>
      <explain>文本全半角错误。</explain>
      <paraID>380CB3B1</paraID>
      <start>14</start>
      <end>15</end>
      <status>unmodified</status>
      <modifiedWord/>
      <trackRevisions>false</trackRevisions>
    </reviewItem>
    <reviewItem>
      <errorID>66c93f73-75f8-498d-abc9-f8264142971f</errorID>
      <errorWord>)</errorWord>
      <group>L1_Format</group>
      <groupName>格式问题</groupName>
      <ability>L2_HalfPunc</ability>
      <abilityName>全半角检查</abilityName>
      <candidateList>
        <item>）</item>
      </candidateList>
      <explain>文本全半角错误。</explain>
      <paraID>380CB3B1</paraID>
      <start>37</start>
      <end>38</end>
      <status>unmodified</status>
      <modifiedWord/>
      <trackRevisions>false</trackRevisions>
    </reviewItem>
    <reviewItem>
      <errorID>b05373ba-dcba-42c0-a6ba-cbe6e44f401b</errorID>
      <errorWord>(</errorWord>
      <group>L1_Format</group>
      <groupName>格式问题</groupName>
      <ability>L2_HalfPunc</ability>
      <abilityName>全半角检查</abilityName>
      <candidateList>
        <item>（</item>
      </candidateList>
      <explain>文本全半角错误。</explain>
      <paraID>380CB3B1</paraID>
      <start>46</start>
      <end>47</end>
      <status>unmodified</status>
      <modifiedWord/>
      <trackRevisions>false</trackRevisions>
    </reviewItem>
    <reviewItem>
      <errorID>2b36833e-7443-4c94-8460-e97f21d386e4</errorID>
      <errorWord>)</errorWord>
      <group>L1_Format</group>
      <groupName>格式问题</groupName>
      <ability>L2_HalfPunc</ability>
      <abilityName>全半角检查</abilityName>
      <candidateList>
        <item>）</item>
      </candidateList>
      <explain>文本全半角错误。</explain>
      <paraID>380CB3B1</paraID>
      <start>62</start>
      <end>63</end>
      <status>unmodified</status>
      <modifiedWord/>
      <trackRevisions>false</trackRevisions>
    </reviewItem>
    <reviewItem>
      <errorID>09d05436-23da-441c-b46e-43fd2d89f6f0</errorID>
      <errorWord>间</errorWord>
      <group>L1_Word</group>
      <groupName>字词问题</groupName>
      <ability>L2_Typo</ability>
      <abilityName>字词错误</abilityName>
      <candidateList>
        <item>间之</item>
      </candidateList>
      <explain/>
      <paraID>6452BDD0</paraID>
      <start>83</start>
      <end>84</end>
      <status>unmodified</status>
      <modifiedWord/>
      <trackRevisions>false</trackRevisions>
    </reviewItem>
    <reviewItem>
      <errorID>4996755a-c18f-40a9-aa81-ae90c1919b69</errorID>
      <errorWord>间</errorWord>
      <group>L1_Word</group>
      <groupName>字词问题</groupName>
      <ability>L2_Typo</ability>
      <abilityName>字词错误</abilityName>
      <candidateList>
        <item>间之</item>
      </candidateList>
      <explain/>
      <paraID>7D011505</paraID>
      <start>10</start>
      <end>11</end>
      <status>unmodified</status>
      <modifiedWord/>
      <trackRevisions>false</trackRevisions>
    </reviewItem>
    <reviewItem>
      <errorID>d073bfcb-b63b-4982-96db-1eefe7518397</errorID>
      <errorWord>(</errorWord>
      <group>L1_Format</group>
      <groupName>格式问题</groupName>
      <ability>L2_HalfPunc</ability>
      <abilityName>全半角检查</abilityName>
      <candidateList>
        <item>（</item>
      </candidateList>
      <explain>文本全半角错误。</explain>
      <paraID>51059047</paraID>
      <start>32</start>
      <end>33</end>
      <status>unmodified</status>
      <modifiedWord/>
      <trackRevisions>false</trackRevisions>
    </reviewItem>
    <reviewItem>
      <errorID>f8e3485f-ab3d-45bc-9755-24000140967e</errorID>
      <errorWord>)</errorWord>
      <group>L1_Format</group>
      <groupName>格式问题</groupName>
      <ability>L2_HalfPunc</ability>
      <abilityName>全半角检查</abilityName>
      <candidateList>
        <item>）</item>
      </candidateList>
      <explain>文本全半角错误。</explain>
      <paraID>51059047</paraID>
      <start>55</start>
      <end>56</end>
      <status>unmodified</status>
      <modifiedWord/>
      <trackRevisions>false</trackRevisions>
    </reviewItem>
    <reviewItem>
      <errorID>8bb98b12-40ad-4b02-b8ae-405cd1af1b42</errorID>
      <errorWord>(</errorWord>
      <group>L1_Format</group>
      <groupName>格式问题</groupName>
      <ability>L2_HalfPunc</ability>
      <abilityName>全半角检查</abilityName>
      <candidateList>
        <item>（</item>
      </candidateList>
      <explain>文本全半角错误。</explain>
      <paraID>51059047</paraID>
      <start>82</start>
      <end>83</end>
      <status>unmodified</status>
      <modifiedWord/>
      <trackRevisions>false</trackRevisions>
    </reviewItem>
    <reviewItem>
      <errorID>e49813ad-6d4a-4fc8-8300-c2706aad2f8f</errorID>
      <errorWord>)</errorWord>
      <group>L1_Format</group>
      <groupName>格式问题</groupName>
      <ability>L2_HalfPunc</ability>
      <abilityName>全半角检查</abilityName>
      <candidateList>
        <item>）</item>
      </candidateList>
      <explain>文本全半角错误。</explain>
      <paraID>51059047</paraID>
      <start>98</start>
      <end>99</end>
      <status>unmodified</status>
      <modifiedWord/>
      <trackRevisions>false</trackRevisions>
    </reviewItem>
    <reviewItem>
      <errorID>66c28020-a489-4ee7-a5b5-009911914cc0</errorID>
      <errorWord>(</errorWord>
      <group>L1_Format</group>
      <groupName>格式问题</groupName>
      <ability>L2_HalfPunc</ability>
      <abilityName>全半角检查</abilityName>
      <candidateList>
        <item>（</item>
      </candidateList>
      <explain>文本全半角错误。</explain>
      <paraID>7BEDF9C6</paraID>
      <start>32</start>
      <end>33</end>
      <status>unmodified</status>
      <modifiedWord/>
      <trackRevisions>false</trackRevisions>
    </reviewItem>
    <reviewItem>
      <errorID>5d54dba9-89ae-40ef-8f1f-f0b3bf487086</errorID>
      <errorWord>)</errorWord>
      <group>L1_Format</group>
      <groupName>格式问题</groupName>
      <ability>L2_HalfPunc</ability>
      <abilityName>全半角检查</abilityName>
      <candidateList>
        <item>）</item>
      </candidateList>
      <explain>文本全半角错误。</explain>
      <paraID>7BEDF9C6</paraID>
      <start>55</start>
      <end>56</end>
      <status>unmodified</status>
      <modifiedWord/>
      <trackRevisions>false</trackRevisions>
    </reviewItem>
    <reviewItem>
      <errorID>dbfb232a-34a3-4311-9f60-75393d883cff</errorID>
      <errorWord>(</errorWord>
      <group>L1_Format</group>
      <groupName>格式问题</groupName>
      <ability>L2_HalfPunc</ability>
      <abilityName>全半角检查</abilityName>
      <candidateList>
        <item>（</item>
      </candidateList>
      <explain>文本全半角错误。</explain>
      <paraID>7BEDF9C6</paraID>
      <start>64</start>
      <end>65</end>
      <status>unmodified</status>
      <modifiedWord/>
      <trackRevisions>false</trackRevisions>
    </reviewItem>
    <reviewItem>
      <errorID>96002119-1999-42ee-ab3e-df07aa4bd79f</errorID>
      <errorWord>)</errorWord>
      <group>L1_Format</group>
      <groupName>格式问题</groupName>
      <ability>L2_HalfPunc</ability>
      <abilityName>全半角检查</abilityName>
      <candidateList>
        <item>）</item>
      </candidateList>
      <explain>文本全半角错误。</explain>
      <paraID>7BEDF9C6</paraID>
      <start>80</start>
      <end>81</end>
      <status>unmodified</status>
      <modifiedWord/>
      <trackRevisions>false</trackRevisions>
    </reviewItem>
    <reviewItem>
      <errorID>f2cfc1e0-e877-466c-96f3-18bb06606295</errorID>
      <errorWord>,</errorWord>
      <group>L1_Format</group>
      <groupName>格式问题</groupName>
      <ability>L2_HalfPunc</ability>
      <abilityName>全半角检查</abilityName>
      <candidateList>
        <item>，</item>
      </candidateList>
      <explain>文本全半角错误。</explain>
      <paraID>7BEDF9C6</paraID>
      <start>107</start>
      <end>108</end>
      <status>unmodified</status>
      <modifiedWord/>
      <trackRevisions>false</trackRevisions>
    </reviewItem>
    <reviewItem>
      <errorID>4e6642f2-9a46-442b-bd11-3f10aa63b099</errorID>
      <errorWord>(</errorWord>
      <group>L1_Format</group>
      <groupName>格式问题</groupName>
      <ability>L2_HalfPunc</ability>
      <abilityName>全半角检查</abilityName>
      <candidateList>
        <item>（</item>
      </candidateList>
      <explain>文本全半角错误。</explain>
      <paraID>524CACBD</paraID>
      <start>10</start>
      <end>11</end>
      <status>unmodified</status>
      <modifiedWord/>
      <trackRevisions>false</trackRevisions>
    </reviewItem>
    <reviewItem>
      <errorID>29e5ff39-9485-43f0-b8de-6fa571bb630f</errorID>
      <errorWord>)</errorWord>
      <group>L1_Format</group>
      <groupName>格式问题</groupName>
      <ability>L2_HalfPunc</ability>
      <abilityName>全半角检查</abilityName>
      <candidateList>
        <item>）</item>
      </candidateList>
      <explain>文本全半角错误。</explain>
      <paraID>524CACBD</paraID>
      <start>15</start>
      <end>16</end>
      <status>unmodified</status>
      <modifiedWord/>
      <trackRevisions>false</trackRevisions>
    </reviewItem>
    <reviewItem>
      <errorID>00425636-f679-44e4-be3b-dcc034154a96</errorID>
      <errorWord>"</errorWord>
      <group>L1_Format</group>
      <groupName>格式问题</groupName>
      <ability>L2_HalfPunc</ability>
      <abilityName>全半角检查</abilityName>
      <candidateList/>
      <explain>文本全半角错误。</explain>
      <paraID>58CD134B</paraID>
      <start>41</start>
      <end>42</end>
      <status>unmodified</status>
      <modifiedWord/>
      <trackRevisions>false</trackRevisions>
    </reviewItem>
    <reviewItem>
      <errorID>47e2f91f-b05e-4a7e-b6cc-ac797ccc0cf1</errorID>
      <errorWord>(</errorWord>
      <group>L1_Format</group>
      <groupName>格式问题</groupName>
      <ability>L2_HalfPunc</ability>
      <abilityName>全半角检查</abilityName>
      <candidateList>
        <item>（</item>
      </candidateList>
      <explain>文本全半角错误。</explain>
      <paraID>3A2AAC0E</paraID>
      <start>10</start>
      <end>11</end>
      <status>unmodified</status>
      <modifiedWord/>
      <trackRevisions>false</trackRevisions>
    </reviewItem>
    <reviewItem>
      <errorID>2a81a9f4-041a-4c7a-ac13-c2ac870607b4</errorID>
      <errorWord>)</errorWord>
      <group>L1_Format</group>
      <groupName>格式问题</groupName>
      <ability>L2_HalfPunc</ability>
      <abilityName>全半角检查</abilityName>
      <candidateList>
        <item>）</item>
      </candidateList>
      <explain>文本全半角错误。</explain>
      <paraID>3A2AAC0E</paraID>
      <start>15</start>
      <end>16</end>
      <status>unmodified</status>
      <modifiedWord/>
      <trackRevisions>false</trackRevisions>
    </reviewItem>
    <reviewItem>
      <errorID>b2d75b28-eed5-4356-9f78-8098b083d540</errorID>
      <errorWord>"</errorWord>
      <group>L1_Format</group>
      <groupName>格式问题</groupName>
      <ability>L2_HalfPunc</ability>
      <abilityName>全半角检查</abilityName>
      <candidateList/>
      <explain>文本全半角错误。</explain>
      <paraID>17583829</paraID>
      <start>41</start>
      <end>42</end>
      <status>unmodified</status>
      <modifiedWord/>
      <trackRevisions>false</trackRevisions>
    </reviewItem>
    <reviewItem>
      <errorID>38fe3e37-7f84-4645-a026-406a80c33a97</errorID>
      <errorWord>(</errorWord>
      <group>L1_Format</group>
      <groupName>格式问题</groupName>
      <ability>L2_HalfPunc</ability>
      <abilityName>全半角检查</abilityName>
      <candidateList>
        <item>（</item>
      </candidateList>
      <explain>文本全半角错误。</explain>
      <paraID>1A64E6A6</paraID>
      <start>10</start>
      <end>11</end>
      <status>unmodified</status>
      <modifiedWord/>
      <trackRevisions>false</trackRevisions>
    </reviewItem>
    <reviewItem>
      <errorID>1fbb3303-ad38-43a3-b888-948916acff6b</errorID>
      <errorWord>)</errorWord>
      <group>L1_Format</group>
      <groupName>格式问题</groupName>
      <ability>L2_HalfPunc</ability>
      <abilityName>全半角检查</abilityName>
      <candidateList>
        <item>）</item>
      </candidateList>
      <explain>文本全半角错误。</explain>
      <paraID>1A64E6A6</paraID>
      <start>15</start>
      <end>16</end>
      <status>unmodified</status>
      <modifiedWord/>
      <trackRevisions>false</trackRevisions>
    </reviewItem>
    <reviewItem>
      <errorID>71853a1f-90bf-40db-97e9-3542ee2dfda6</errorID>
      <errorWord>(</errorWord>
      <group>L1_Format</group>
      <groupName>格式问题</groupName>
      <ability>L2_HalfPunc</ability>
      <abilityName>全半角检查</abilityName>
      <candidateList>
        <item>（</item>
      </candidateList>
      <explain>文本全半角错误。</explain>
      <paraID>29BC425F</paraID>
      <start>10</start>
      <end>11</end>
      <status>unmodified</status>
      <modifiedWord/>
      <trackRevisions>false</trackRevisions>
    </reviewItem>
    <reviewItem>
      <errorID>09475de5-6459-461e-ac7e-cc4965e5c625</errorID>
      <errorWord>)</errorWord>
      <group>L1_Format</group>
      <groupName>格式问题</groupName>
      <ability>L2_HalfPunc</ability>
      <abilityName>全半角检查</abilityName>
      <candidateList>
        <item>）</item>
      </candidateList>
      <explain>文本全半角错误。</explain>
      <paraID>29BC425F</paraID>
      <start>15</start>
      <end>16</end>
      <status>unmodified</status>
      <modifiedWord/>
      <trackRevisions>false</trackRevisions>
    </reviewItem>
    <reviewItem>
      <errorID>8e16576a-0914-4131-81c2-3d08093b7c79</errorID>
      <errorWord>采用按</errorWord>
      <group>L1_Word</group>
      <groupName>字词问题</groupName>
      <ability>L2_Typo</ability>
      <abilityName>字词错误</abilityName>
      <candidateList>
        <item>采用</item>
      </candidateList>
      <explain>〈动〉认为合适而使用：～新工艺｜～举手表决方式｜那篇稿子已被编辑部～。</explain>
      <paraID>3B521ED5</paraID>
      <start>24</start>
      <end>27</end>
      <status>unmodified</status>
      <modifiedWord/>
      <trackRevisions>false</trackRevisions>
    </reviewItem>
    <reviewItem>
      <errorID>6b16c74a-9f1d-4ed0-9efe-bb954226d9a3</errorID>
      <errorWord>,</errorWord>
      <group>L1_Format</group>
      <groupName>格式问题</groupName>
      <ability>L2_HalfPunc</ability>
      <abilityName>全半角检查</abilityName>
      <candidateList>
        <item>，</item>
      </candidateList>
      <explain>文本全半角错误。</explain>
      <paraID>77B7F478</paraID>
      <start>118</start>
      <end>119</end>
      <status>unmodified</status>
      <modifiedWord/>
      <trackRevisions>false</trackRevisions>
    </reviewItem>
    <reviewItem>
      <errorID>f94a612e-b59f-4d7e-b084-a795d785b31a</errorID>
      <errorWord>,</errorWord>
      <group>L1_Format</group>
      <groupName>格式问题</groupName>
      <ability>L2_HalfPunc</ability>
      <abilityName>全半角检查</abilityName>
      <candidateList>
        <item>，</item>
      </candidateList>
      <explain>文本全半角错误。</explain>
      <paraID>4B185867</paraID>
      <start>8</start>
      <end>9</end>
      <status>unmodified</status>
      <modifiedWord/>
      <trackRevisions>false</trackRevisions>
    </reviewItem>
    <reviewItem>
      <errorID>443f99ea-cd2a-415a-8fd0-3b3a797e4478</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4BA6F674</paraID>
      <start>30</start>
      <end>32</end>
      <status>unmodified</status>
      <modifiedWord/>
      <trackRevisions>false</trackRevisions>
    </reviewItem>
    <reviewItem>
      <errorID>5c44d359-b170-48a2-b35c-b6a4f1d84a60</errorID>
      <errorWord>;</errorWord>
      <group>L1_Format</group>
      <groupName>格式问题</groupName>
      <ability>L2_HalfPunc</ability>
      <abilityName>全半角检查</abilityName>
      <candidateList>
        <item>；</item>
      </candidateList>
      <explain>文本全半角错误。</explain>
      <paraID> 8B28663</paraID>
      <start>55</start>
      <end>56</end>
      <status>unmodified</status>
      <modifiedWord/>
      <trackRevisions>false</trackRevisions>
    </reviewItem>
    <reviewItem>
      <errorID>aa58c12f-804d-4132-8e45-02f5a43590dd</errorID>
      <errorWord>;</errorWord>
      <group>L1_Format</group>
      <groupName>格式问题</groupName>
      <ability>L2_HalfPunc</ability>
      <abilityName>全半角检查</abilityName>
      <candidateList>
        <item>；</item>
      </candidateList>
      <explain>文本全半角错误。</explain>
      <paraID>563D87E8</paraID>
      <start>22</start>
      <end>23</end>
      <status>unmodified</status>
      <modifiedWord/>
      <trackRevisions>false</trackRevisions>
    </reviewItem>
    <reviewItem>
      <errorID>e3d1e4a3-3b18-4ebb-9e5f-d7b4f7d54bcc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5D9AE211</paraID>
      <start>17</start>
      <end>18</end>
      <status>unmodified</status>
      <modifiedWord/>
      <trackRevisions>false</trackRevisions>
    </reviewItem>
    <reviewItem>
      <errorID>e8663f2e-2bd7-40ee-b1f1-d1947f7a5ebf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4120C7FD</paraID>
      <start>59</start>
      <end>60</end>
      <status>unmodified</status>
      <modifiedWord/>
      <trackRevisions>false</trackRevisions>
    </reviewItem>
    <reviewItem>
      <errorID>8fc820d4-6ad3-42e4-b523-6108f01027ef</errorID>
      <errorWord>(</errorWord>
      <group>L1_Format</group>
      <groupName>格式问题</groupName>
      <ability>L2_HalfPunc</ability>
      <abilityName>全半角检查</abilityName>
      <candidateList>
        <item>（</item>
      </candidateList>
      <explain>文本全半角错误。</explain>
      <paraID>24C9DD12</paraID>
      <start>58</start>
      <end>59</end>
      <status>unmodified</status>
      <modifiedWord/>
      <trackRevisions>false</trackRevisions>
    </reviewItem>
    <reviewItem>
      <errorID>b56a2654-4081-4e95-9e80-65a1aebd12c5</errorID>
      <errorWord>)</errorWord>
      <group>L1_Format</group>
      <groupName>格式问题</groupName>
      <ability>L2_HalfPunc</ability>
      <abilityName>全半角检查</abilityName>
      <candidateList>
        <item>）</item>
      </candidateList>
      <explain>文本全半角错误。</explain>
      <paraID>24C9DD12</paraID>
      <start>66</start>
      <end>67</end>
      <status>unmodified</status>
      <modifiedWord/>
      <trackRevisions>false</trackRevisions>
    </reviewItem>
    <reviewItem>
      <errorID>68f34c79-c316-43c3-afcf-8fa181736739</errorID>
      <errorWord>(</errorWord>
      <group>L1_Format</group>
      <groupName>格式问题</groupName>
      <ability>L2_HalfPunc</ability>
      <abilityName>全半角检查</abilityName>
      <candidateList>
        <item>（</item>
      </candidateList>
      <explain>文本全半角错误。</explain>
      <paraID>24C9DD12</paraID>
      <start>78</start>
      <end>79</end>
      <status>unmodified</status>
      <modifiedWord/>
      <trackRevisions>false</trackRevisions>
    </reviewItem>
    <reviewItem>
      <errorID>7e84f768-c401-482c-bd8f-e42d26c88c70</errorID>
      <errorWord>)</errorWord>
      <group>L1_Format</group>
      <groupName>格式问题</groupName>
      <ability>L2_HalfPunc</ability>
      <abilityName>全半角检查</abilityName>
      <candidateList>
        <item>）</item>
      </candidateList>
      <explain>文本全半角错误。</explain>
      <paraID>24C9DD12</paraID>
      <start>86</start>
      <end>87</end>
      <status>unmodified</status>
      <modifiedWord/>
      <trackRevisions>false</trackRevisions>
    </reviewItem>
    <reviewItem>
      <errorID>919ee561-49e3-434a-9003-2c27f1042fdb</errorID>
      <errorWord>(</errorWord>
      <group>L1_Format</group>
      <groupName>格式问题</groupName>
      <ability>L2_HalfPunc</ability>
      <abilityName>全半角检查</abilityName>
      <candidateList>
        <item>（</item>
      </candidateList>
      <explain>文本全半角错误。</explain>
      <paraID> 8FE5101</paraID>
      <start>10</start>
      <end>11</end>
      <status>unmodified</status>
      <modifiedWord/>
      <trackRevisions>false</trackRevisions>
    </reviewItem>
    <reviewItem>
      <errorID>d1e0a283-f05b-4869-90bc-f6f25d230326</errorID>
      <errorWord>)</errorWord>
      <group>L1_Format</group>
      <groupName>格式问题</groupName>
      <ability>L2_HalfPunc</ability>
      <abilityName>全半角检查</abilityName>
      <candidateList>
        <item>）</item>
      </candidateList>
      <explain>文本全半角错误。</explain>
      <paraID> 8FE5101</paraID>
      <start>15</start>
      <end>16</end>
      <status>unmodified</status>
      <modifiedWord/>
      <trackRevisions>false</trackRevisions>
    </reviewItem>
    <reviewItem>
      <errorID>4ef09986-c4f6-42ab-a56b-3e6dc7179dcc</errorID>
      <errorWord>"</errorWord>
      <group>L1_Format</group>
      <groupName>格式问题</groupName>
      <ability>L2_HalfPunc</ability>
      <abilityName>全半角检查</abilityName>
      <candidateList/>
      <explain>文本全半角错误。</explain>
      <paraID>1C552C57</paraID>
      <start>41</start>
      <end>42</end>
      <status>unmodified</status>
      <modifiedWord/>
      <trackRevisions>false</trackRevisions>
    </reviewItem>
    <reviewItem>
      <errorID>30dd3b4d-07c1-4f45-b161-54b681beb96e</errorID>
      <errorWord>(</errorWord>
      <group>L1_Format</group>
      <groupName>格式问题</groupName>
      <ability>L2_HalfPunc</ability>
      <abilityName>全半角检查</abilityName>
      <candidateList>
        <item>（</item>
      </candidateList>
      <explain>文本全半角错误。</explain>
      <paraID>3654A84C</paraID>
      <start>10</start>
      <end>11</end>
      <status>unmodified</status>
      <modifiedWord/>
      <trackRevisions>false</trackRevisions>
    </reviewItem>
    <reviewItem>
      <errorID>20e0b268-e4ba-4118-a132-716a471da7e1</errorID>
      <errorWord>)</errorWord>
      <group>L1_Format</group>
      <groupName>格式问题</groupName>
      <ability>L2_HalfPunc</ability>
      <abilityName>全半角检查</abilityName>
      <candidateList>
        <item>）</item>
      </candidateList>
      <explain>文本全半角错误。</explain>
      <paraID>3654A84C</paraID>
      <start>15</start>
      <end>16</end>
      <status>unmodified</status>
      <modifiedWord/>
      <trackRevisions>false</trackRevisions>
    </reviewItem>
    <reviewItem>
      <errorID>db94e2ea-d2e0-4b7e-aef9-3659819b5db5</errorID>
      <errorWord>"</errorWord>
      <group>L1_Format</group>
      <groupName>格式问题</groupName>
      <ability>L2_HalfPunc</ability>
      <abilityName>全半角检查</abilityName>
      <candidateList/>
      <explain>文本全半角错误。</explain>
      <paraID>1691BDDF</paraID>
      <start>41</start>
      <end>42</end>
      <status>unmodified</status>
      <modifiedWord/>
      <trackRevisions>false</trackRevisions>
    </reviewItem>
    <reviewItem>
      <errorID>b83f9c29-3a6f-494c-8ec5-451b92c02fca</errorID>
      <errorWord>(</errorWord>
      <group>L1_Format</group>
      <groupName>格式问题</groupName>
      <ability>L2_HalfPunc</ability>
      <abilityName>全半角检查</abilityName>
      <candidateList>
        <item>（</item>
      </candidateList>
      <explain>文本全半角错误。</explain>
      <paraID>5A6D05D1</paraID>
      <start>10</start>
      <end>11</end>
      <status>unmodified</status>
      <modifiedWord/>
      <trackRevisions>false</trackRevisions>
    </reviewItem>
    <reviewItem>
      <errorID>32dd6e7b-cdc4-4065-a3d4-b3faf25ddcd1</errorID>
      <errorWord>)</errorWord>
      <group>L1_Format</group>
      <groupName>格式问题</groupName>
      <ability>L2_HalfPunc</ability>
      <abilityName>全半角检查</abilityName>
      <candidateList>
        <item>）</item>
      </candidateList>
      <explain>文本全半角错误。</explain>
      <paraID>5A6D05D1</paraID>
      <start>15</start>
      <end>16</end>
      <status>unmodified</status>
      <modifiedWord/>
      <trackRevisions>false</trackRevisions>
    </reviewItem>
    <reviewItem>
      <errorID>aab11c3a-8aa7-47eb-9a6d-c62d66f2a103</errorID>
      <errorWord>(</errorWord>
      <group>L1_Format</group>
      <groupName>格式问题</groupName>
      <ability>L2_HalfPunc</ability>
      <abilityName>全半角检查</abilityName>
      <candidateList>
        <item>（</item>
      </candidateList>
      <explain>文本全半角错误。</explain>
      <paraID>768959C2</paraID>
      <start>10</start>
      <end>11</end>
      <status>unmodified</status>
      <modifiedWord/>
      <trackRevisions>false</trackRevisions>
    </reviewItem>
    <reviewItem>
      <errorID>b76e11ab-66f6-4ddb-a50b-07492995a85e</errorID>
      <errorWord>)</errorWord>
      <group>L1_Format</group>
      <groupName>格式问题</groupName>
      <ability>L2_HalfPunc</ability>
      <abilityName>全半角检查</abilityName>
      <candidateList>
        <item>）</item>
      </candidateList>
      <explain>文本全半角错误。</explain>
      <paraID>768959C2</paraID>
      <start>15</start>
      <end>16</end>
      <status>unmodified</status>
      <modifiedWord/>
      <trackRevisions>false</trackRevisions>
    </reviewItem>
    <reviewItem>
      <errorID>a9a17a2f-f9fc-428e-8801-1baa7e398012</errorID>
      <errorWord>,</errorWord>
      <group>L1_Format</group>
      <groupName>格式问题</groupName>
      <ability>L2_HalfPunc</ability>
      <abilityName>全半角检查</abilityName>
      <candidateList>
        <item>，</item>
      </candidateList>
      <explain>文本全半角错误。</explain>
      <paraID>6BFDA28F</paraID>
      <start>112</start>
      <end>113</end>
      <status>unmodified</status>
      <modifiedWord/>
      <trackRevisions>false</trackRevisions>
    </reviewItem>
    <reviewItem>
      <errorID>bb69f055-622e-445d-ad49-9397a0d06f99</errorID>
      <errorWord>,</errorWord>
      <group>L1_Format</group>
      <groupName>格式问题</groupName>
      <ability>L2_HalfPunc</ability>
      <abilityName>全半角检查</abilityName>
      <candidateList>
        <item>，</item>
      </candidateList>
      <explain>文本全半角错误。</explain>
      <paraID>4D48A1F8</paraID>
      <start>8</start>
      <end>9</end>
      <status>unmodified</status>
      <modifiedWord/>
      <trackRevisions>false</trackRevisions>
    </reviewItem>
    <reviewItem>
      <errorID>4cde6785-626a-4ad4-8207-4793ba0fe6b4</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 8C2EEA8</paraID>
      <start>30</start>
      <end>32</end>
      <status>unmodified</status>
      <modifiedWord/>
      <trackRevisions>false</trackRevisions>
    </reviewItem>
    <reviewItem>
      <errorID>9d57e909-f608-410b-b00c-447001a4ccee</errorID>
      <errorWord>-</errorWord>
      <group>L1_Format</group>
      <groupName>格式问题</groupName>
      <ability>L2_HalfPunc</ability>
      <abilityName>全半角检查</abilityName>
      <candidateList>
        <item>－</item>
      </candidateList>
      <explain>文本全半角错误。</explain>
      <paraID>774224FF</paraID>
      <start>15</start>
      <end>16</end>
      <status>unmodified</status>
      <modifiedWord/>
      <trackRevisions>false</trackRevisions>
    </reviewItem>
    <reviewItem>
      <errorID>61f08595-c726-45b1-bb04-6fc66c29dee2</errorID>
      <errorWord>-</errorWord>
      <group>L1_Format</group>
      <groupName>格式问题</groupName>
      <ability>L2_HalfPunc</ability>
      <abilityName>全半角检查</abilityName>
      <candidateList>
        <item>－</item>
      </candidateList>
      <explain>文本全半角错误。</explain>
      <paraID>774224FF</paraID>
      <start>20</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936925-57fc-48bf-9bed-c6904125cd93}">
  <ds:schemaRefs/>
</ds:datastoreItem>
</file>

<file path=docProps/app.xml><?xml version="1.0" encoding="utf-8"?>
<Properties xmlns="http://schemas.openxmlformats.org/officeDocument/2006/extended-properties" xmlns:vt="http://schemas.openxmlformats.org/officeDocument/2006/docPropsVTypes">
  <Template>Normal.dotm</Template>
  <Pages>39</Pages>
  <Words>20641</Words>
  <Characters>22161</Characters>
  <Lines>224</Lines>
  <Paragraphs>63</Paragraphs>
  <TotalTime>4</TotalTime>
  <ScaleCrop>false</ScaleCrop>
  <LinksUpToDate>false</LinksUpToDate>
  <CharactersWithSpaces>22630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2026-05-21T02:59:37Z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DAAF9957D0D257E573E8CE665B1D8A7A_43</vt:lpwstr>
  </property>
  <property fmtid="{D5CDD505-2E9C-101B-9397-08002B2CF9AE}" pid="4" name="KSOTemplateDocerSaveRecord">
    <vt:lpwstr>eyJoZGlkIjoiNGEwMGU2NzdkN2YxZTU4YWI5NjY4OGRiYmM5MTk1ZmIiLCJ1c2VySWQiOiI2NjM1OTQ2NjkifQ==</vt:lpwstr>
  </property>
</Properties>
</file>