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招标</w:t>
      </w:r>
      <w:r>
        <w:rPr>
          <w:rFonts w:ascii="仿宋_GB2312" w:hAnsi="宋体" w:eastAsia="仿宋_GB2312"/>
          <w:sz w:val="32"/>
          <w:szCs w:val="32"/>
        </w:rPr>
        <w:t>编号：</w:t>
      </w:r>
      <w:r>
        <w:rPr>
          <w:rFonts w:hint="eastAsia" w:ascii="仿宋_GB2312" w:hAnsi="宋体" w:eastAsia="仿宋_GB2312"/>
          <w:sz w:val="32"/>
          <w:szCs w:val="32"/>
          <w:u w:val="single"/>
        </w:rPr>
        <w:t xml:space="preserve"> 2021030</w:t>
      </w:r>
      <w:r>
        <w:rPr>
          <w:rFonts w:hint="eastAsia" w:ascii="仿宋_GB2312" w:hAnsi="宋体" w:eastAsia="仿宋_GB2312"/>
          <w:sz w:val="32"/>
          <w:szCs w:val="32"/>
          <w:u w:val="single"/>
          <w:lang w:val="en-US" w:eastAsia="zh-CN"/>
        </w:rPr>
        <w:t>15</w:t>
      </w:r>
    </w:p>
    <w:p>
      <w:pPr>
        <w:spacing w:line="360" w:lineRule="auto"/>
        <w:jc w:val="center"/>
        <w:rPr>
          <w:rFonts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2021年</w:t>
      </w:r>
      <w:r>
        <w:rPr>
          <w:rFonts w:hint="eastAsia" w:ascii="仿宋_GB2312" w:hAnsi="宋体" w:eastAsia="仿宋_GB2312"/>
          <w:sz w:val="32"/>
          <w:szCs w:val="32"/>
          <w:u w:val="single"/>
        </w:rPr>
        <w:t>临江公司三固项目年度委外检测服务</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jc w:val="center"/>
        <w:rPr>
          <w:sz w:val="84"/>
        </w:rPr>
      </w:pPr>
      <w:r>
        <w:rPr>
          <w:rFonts w:hint="eastAsia" w:ascii="仿宋_GB2312" w:hAnsi="宋体" w:eastAsia="仿宋_GB2312"/>
          <w:sz w:val="32"/>
          <w:szCs w:val="32"/>
        </w:rPr>
        <w:t>二○二一年三月</w:t>
      </w:r>
    </w:p>
    <w:p>
      <w:pPr>
        <w:spacing w:line="48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2"/>
        <w:tabs>
          <w:tab w:val="right" w:leader="dot" w:pos="9060"/>
        </w:tabs>
        <w:rPr>
          <w:rStyle w:val="12"/>
          <w:rFonts w:ascii="仿宋_GB2312" w:eastAsia="仿宋_GB2312"/>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fldChar w:fldCharType="begin"/>
      </w:r>
      <w:r>
        <w:instrText xml:space="preserve"> HYPERLINK \l "_Toc509229818" </w:instrText>
      </w:r>
      <w:r>
        <w:fldChar w:fldCharType="separate"/>
      </w:r>
      <w:r>
        <w:rPr>
          <w:rStyle w:val="12"/>
          <w:rFonts w:hint="eastAsia" w:ascii="仿宋_GB2312" w:eastAsia="仿宋_GB2312"/>
          <w:sz w:val="32"/>
          <w:szCs w:val="32"/>
        </w:rPr>
        <w:t>第一部分  招标公告</w:t>
      </w:r>
      <w:bookmarkStart w:id="2" w:name="_Hlt509229879"/>
      <w:r>
        <w:rPr>
          <w:rStyle w:val="12"/>
          <w:rFonts w:hint="eastAsia" w:ascii="仿宋_GB2312" w:eastAsia="仿宋_GB2312"/>
          <w:sz w:val="32"/>
          <w:szCs w:val="32"/>
        </w:rPr>
        <w:tab/>
      </w:r>
      <w:bookmarkEnd w:id="2"/>
      <w:bookmarkStart w:id="3" w:name="_Hlt509230061"/>
      <w:r>
        <w:rPr>
          <w:rFonts w:hint="eastAsia" w:ascii="仿宋_GB2312" w:eastAsia="仿宋_GB2312"/>
          <w:sz w:val="32"/>
          <w:szCs w:val="32"/>
        </w:rPr>
        <w:fldChar w:fldCharType="begin"/>
      </w:r>
      <w:r>
        <w:rPr>
          <w:rStyle w:val="12"/>
          <w:rFonts w:hint="eastAsia" w:ascii="仿宋_GB2312" w:eastAsia="仿宋_GB2312"/>
          <w:sz w:val="32"/>
          <w:szCs w:val="32"/>
        </w:rPr>
        <w:instrText xml:space="preserve"> PAGEREF _Toc509229818 \h </w:instrText>
      </w:r>
      <w:r>
        <w:rPr>
          <w:rFonts w:hint="eastAsia" w:ascii="仿宋_GB2312" w:eastAsia="仿宋_GB2312"/>
          <w:sz w:val="32"/>
          <w:szCs w:val="32"/>
        </w:rPr>
        <w:fldChar w:fldCharType="separate"/>
      </w:r>
      <w:r>
        <w:rPr>
          <w:rStyle w:val="12"/>
          <w:rFonts w:hint="eastAsia" w:ascii="仿宋_GB2312" w:eastAsia="仿宋_GB2312"/>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"_Toc509229844" </w:instrText>
      </w:r>
      <w:r>
        <w:fldChar w:fldCharType="separate"/>
      </w:r>
      <w:r>
        <w:rPr>
          <w:rStyle w:val="12"/>
          <w:rFonts w:hint="eastAsia" w:ascii="仿宋_GB2312" w:eastAsia="仿宋_GB2312"/>
          <w:sz w:val="32"/>
          <w:szCs w:val="32"/>
        </w:rPr>
        <w:t xml:space="preserve">第二部分  </w:t>
      </w:r>
      <w:bookmarkStart w:id="4" w:name="_Hlt509230069"/>
      <w:bookmarkStart w:id="5" w:name="_Hlt509229880"/>
      <w:r>
        <w:rPr>
          <w:rStyle w:val="12"/>
          <w:rFonts w:hint="eastAsia" w:ascii="仿宋_GB2312" w:eastAsia="仿宋_GB2312"/>
          <w:sz w:val="32"/>
          <w:szCs w:val="32"/>
        </w:rPr>
        <w:t>投标须知前附表及投标须知</w:t>
      </w:r>
      <w:bookmarkStart w:id="6" w:name="_Hlt3475374"/>
      <w:bookmarkStart w:id="7" w:name="_Hlt3475373"/>
      <w:r>
        <w:rPr>
          <w:rStyle w:val="12"/>
          <w:rFonts w:hint="eastAsia" w:ascii="仿宋_GB2312" w:eastAsia="仿宋_GB2312"/>
          <w:sz w:val="32"/>
          <w:szCs w:val="32"/>
        </w:rPr>
        <w:tab/>
      </w:r>
      <w:bookmarkEnd w:id="4"/>
      <w:bookmarkEnd w:id="5"/>
      <w:bookmarkEnd w:id="6"/>
      <w:bookmarkEnd w:id="7"/>
      <w:r>
        <w:rPr>
          <w:rFonts w:hint="eastAsia" w:ascii="仿宋_GB2312" w:eastAsia="仿宋_GB2312"/>
          <w:sz w:val="32"/>
          <w:szCs w:val="32"/>
        </w:rPr>
        <w:fldChar w:fldCharType="begin"/>
      </w:r>
      <w:r>
        <w:rPr>
          <w:rStyle w:val="12"/>
          <w:rFonts w:hint="eastAsia" w:ascii="仿宋_GB2312" w:eastAsia="仿宋_GB2312"/>
          <w:sz w:val="32"/>
          <w:szCs w:val="32"/>
        </w:rPr>
        <w:instrText xml:space="preserve"> PAGEREF _Toc509229844 \h </w:instrText>
      </w:r>
      <w:r>
        <w:rPr>
          <w:rFonts w:hint="eastAsia" w:ascii="仿宋_GB2312" w:eastAsia="仿宋_GB2312"/>
          <w:sz w:val="32"/>
          <w:szCs w:val="32"/>
        </w:rPr>
        <w:fldChar w:fldCharType="separate"/>
      </w:r>
      <w:r>
        <w:rPr>
          <w:rStyle w:val="12"/>
          <w:rFonts w:hint="eastAsia" w:ascii="仿宋_GB2312" w:eastAsia="仿宋_GB2312"/>
          <w:sz w:val="32"/>
          <w:szCs w:val="32"/>
        </w:rPr>
        <w:t>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"_Toc509229845" </w:instrText>
      </w:r>
      <w:r>
        <w:fldChar w:fldCharType="separate"/>
      </w:r>
      <w:r>
        <w:rPr>
          <w:rStyle w:val="12"/>
          <w:rFonts w:hint="eastAsia" w:ascii="仿宋_GB2312" w:eastAsia="仿宋_GB2312"/>
          <w:spacing w:val="-2"/>
          <w:sz w:val="32"/>
          <w:szCs w:val="32"/>
        </w:rPr>
        <w:t xml:space="preserve">第三部分  </w:t>
      </w:r>
      <w:bookmarkStart w:id="8" w:name="_Hlt509230077"/>
      <w:r>
        <w:rPr>
          <w:rStyle w:val="12"/>
          <w:rFonts w:hint="eastAsia" w:ascii="仿宋_GB2312" w:eastAsia="仿宋_GB2312"/>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hint="eastAsia" w:ascii="仿宋_GB2312" w:eastAsia="仿宋_GB2312"/>
          <w:sz w:val="32"/>
          <w:szCs w:val="32"/>
        </w:rPr>
        <w:t>15</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"_Toc509229875" </w:instrText>
      </w:r>
      <w:r>
        <w:fldChar w:fldCharType="separate"/>
      </w:r>
      <w:r>
        <w:rPr>
          <w:rStyle w:val="12"/>
          <w:rFonts w:hint="eastAsia" w:ascii="仿宋_GB2312" w:eastAsia="仿宋_GB2312"/>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hint="eastAsia" w:ascii="仿宋_GB2312" w:eastAsia="仿宋_GB2312"/>
          <w:sz w:val="32"/>
          <w:szCs w:val="32"/>
        </w:rPr>
        <w:t>19</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"_Toc509229876" </w:instrText>
      </w:r>
      <w:r>
        <w:fldChar w:fldCharType="separate"/>
      </w:r>
      <w:r>
        <w:rPr>
          <w:rStyle w:val="12"/>
          <w:rFonts w:hint="eastAsia" w:ascii="仿宋_GB2312" w:eastAsia="仿宋_GB2312"/>
          <w:sz w:val="32"/>
          <w:szCs w:val="32"/>
        </w:rPr>
        <w:t xml:space="preserve">第五部分  </w:t>
      </w:r>
      <w:bookmarkStart w:id="11" w:name="_Hlt509230090"/>
      <w:bookmarkStart w:id="12" w:name="_Hlt509229878"/>
      <w:bookmarkStart w:id="13" w:name="_Hlt509229877"/>
      <w:r>
        <w:rPr>
          <w:rStyle w:val="12"/>
          <w:rFonts w:hint="eastAsia" w:ascii="仿宋_GB2312" w:eastAsia="仿宋_GB2312"/>
          <w:sz w:val="32"/>
          <w:szCs w:val="32"/>
        </w:rPr>
        <w:t>投标文件格式</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hint="eastAsia" w:ascii="仿宋_GB2312" w:eastAsia="仿宋_GB2312"/>
          <w:sz w:val="32"/>
          <w:szCs w:val="32"/>
        </w:rPr>
        <w:t>22</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ascii="宋体" w:hAnsi="宋体" w:cs="小标宋"/>
          <w:sz w:val="44"/>
          <w:szCs w:val="44"/>
        </w:rPr>
      </w:pPr>
      <w:r>
        <w:rPr>
          <w:rFonts w:hint="eastAsia" w:ascii="仿宋_GB2312" w:hAnsi="宋体" w:eastAsia="仿宋_GB2312" w:cs="小标宋"/>
          <w:b/>
          <w:sz w:val="32"/>
          <w:szCs w:val="32"/>
        </w:rPr>
        <w:fldChar w:fldCharType="end"/>
      </w:r>
      <w:r>
        <w:rPr>
          <w:rFonts w:ascii="宋体" w:hAnsi="宋体" w:cs="小标宋"/>
          <w:sz w:val="52"/>
          <w:szCs w:val="44"/>
        </w:rPr>
        <w:t xml:space="preserve">   </w:t>
      </w:r>
    </w:p>
    <w:p>
      <w:pPr>
        <w:pStyle w:val="5"/>
        <w:tabs>
          <w:tab w:val="right" w:leader="dot" w:pos="9070"/>
        </w:tabs>
        <w:spacing w:after="72"/>
        <w:ind w:left="446" w:firstLine="480"/>
      </w:pPr>
    </w:p>
    <w:p>
      <w:pPr>
        <w:spacing w:line="480" w:lineRule="auto"/>
        <w:ind w:left="600"/>
        <w:jc w:val="center"/>
        <w:rPr>
          <w:rFonts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rPr>
      </w:pPr>
      <w:bookmarkStart w:id="14" w:name="_Toc509229818"/>
      <w:bookmarkStart w:id="15" w:name="_Toc509228292"/>
      <w:bookmarkStart w:id="16" w:name="_Toc473012590"/>
      <w:r>
        <w:rPr>
          <w:rStyle w:val="13"/>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杭州临江环境能源有限公司</w:t>
      </w:r>
      <w:r>
        <w:rPr>
          <w:rFonts w:hint="eastAsia" w:ascii="仿宋_GB2312" w:hAnsi="仿宋" w:eastAsia="仿宋_GB2312"/>
          <w:sz w:val="24"/>
          <w:szCs w:val="24"/>
        </w:rPr>
        <w:t>因生产需要，</w:t>
      </w:r>
      <w:r>
        <w:rPr>
          <w:rFonts w:hint="eastAsia" w:ascii="仿宋_GB2312" w:hAnsi="宋体" w:eastAsia="仿宋_GB2312"/>
          <w:sz w:val="24"/>
          <w:szCs w:val="24"/>
        </w:rPr>
        <w:t>就临江公司三固项目年度委外检测服务进行公开招标，欢迎符合要求的投标人参加投标。</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要求按照国家标准中规定的检测方法，精准地完成项目检测服务，并出具检测报告及数据分析报告。</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最高限价：75万元。</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二</w:t>
      </w:r>
      <w:r>
        <w:rPr>
          <w:rFonts w:ascii="仿宋_GB2312" w:hAnsi="宋体" w:eastAsia="仿宋_GB2312"/>
          <w:sz w:val="24"/>
          <w:szCs w:val="24"/>
        </w:rPr>
        <w:t>、</w:t>
      </w:r>
      <w:r>
        <w:rPr>
          <w:rFonts w:hint="eastAsia" w:ascii="仿宋_GB2312" w:hAnsi="宋体" w:eastAsia="仿宋_GB2312"/>
          <w:sz w:val="24"/>
          <w:szCs w:val="24"/>
        </w:rPr>
        <w:t>资金来源：自筹资金。</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三、投标人的资格要求。</w:t>
      </w:r>
    </w:p>
    <w:p>
      <w:pPr>
        <w:pStyle w:val="18"/>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1.在中华人民共和国境内注册，具有独立法人资格和履行合同能力，注册资金在人民币1000万元（含）以上；</w:t>
      </w:r>
    </w:p>
    <w:p>
      <w:pPr>
        <w:pStyle w:val="18"/>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2.须具备省级及以上质监部门颁发的在有效期内的检验检测机构资质认定证书（CMA），须出具合法有效的检测报告（最多只允许5种指标分包，如有分包，投标人须列明分包项，且分包单位须出具合法有效的检测报告）；</w:t>
      </w:r>
    </w:p>
    <w:p>
      <w:pPr>
        <w:pStyle w:val="18"/>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3.投标人自2018年1月1日以来承担过杭州地区区级及以上环保局或监测站委托的5个以上的环境检测类的项目（需提供合同复印件）；</w:t>
      </w:r>
    </w:p>
    <w:p>
      <w:pPr>
        <w:pStyle w:val="18"/>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4.投标人须在杭州地区范围内拥有独立实验室，工作场所面积不少于1000平方米；</w:t>
      </w:r>
    </w:p>
    <w:p>
      <w:pPr>
        <w:widowControl/>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5.投标人在“信用中国”（www.creditchina.gov.cn）、中国政府采购网（www.ccgp.gov.cn）等其它官方网站没有被列入失信被执行人、重大税收违法案件当事人名单、政府采购严重违法失信行为记录名单、有责合同纠纷等不良记录；</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6.本项目不接受联合体投标。</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四、报名时间与地点。</w:t>
      </w:r>
    </w:p>
    <w:p>
      <w:pPr>
        <w:widowControl/>
        <w:spacing w:before="60" w:after="60" w:line="360" w:lineRule="auto"/>
        <w:ind w:right="6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1、报名时间：</w:t>
      </w:r>
      <w:bookmarkStart w:id="17" w:name="B19_招标文件发售起始日期"/>
      <w:r>
        <w:rPr>
          <w:rFonts w:hint="eastAsia" w:ascii="仿宋_GB2312" w:hAnsi="仿宋_GB2312" w:eastAsia="仿宋_GB2312" w:cs="仿宋_GB2312"/>
          <w:sz w:val="24"/>
          <w:szCs w:val="24"/>
        </w:rPr>
        <w:t>2021年</w:t>
      </w:r>
      <w:bookmarkEnd w:id="17"/>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日至2021年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日(工作日上午</w:t>
      </w:r>
      <w:bookmarkStart w:id="18" w:name="B21_招标文件的发布上午时间"/>
      <w:r>
        <w:rPr>
          <w:rFonts w:hint="eastAsia" w:ascii="仿宋_GB2312" w:hAnsi="仿宋_GB2312" w:eastAsia="仿宋_GB2312" w:cs="仿宋_GB2312"/>
          <w:sz w:val="24"/>
          <w:szCs w:val="24"/>
        </w:rPr>
        <w:t xml:space="preserve">9:30-11:30 </w:t>
      </w:r>
      <w:bookmarkEnd w:id="18"/>
      <w:r>
        <w:rPr>
          <w:rFonts w:hint="eastAsia" w:ascii="仿宋_GB2312" w:hAnsi="仿宋_GB2312" w:eastAsia="仿宋_GB2312" w:cs="仿宋_GB2312"/>
          <w:sz w:val="24"/>
          <w:szCs w:val="24"/>
        </w:rPr>
        <w:t>，下午13:00-16:30)。</w:t>
      </w:r>
    </w:p>
    <w:p>
      <w:pPr>
        <w:widowControl/>
        <w:spacing w:before="60" w:after="60" w:line="360" w:lineRule="auto"/>
        <w:ind w:right="60" w:firstLine="480"/>
        <w:rPr>
          <w:rFonts w:ascii="仿宋_GB2312" w:hAnsi="仿宋_GB2312" w:eastAsia="仿宋_GB2312" w:cs="仿宋_GB2312"/>
          <w:b/>
          <w:sz w:val="24"/>
          <w:szCs w:val="24"/>
        </w:rPr>
      </w:pPr>
      <w:r>
        <w:rPr>
          <w:rFonts w:hint="eastAsia" w:ascii="仿宋_GB2312" w:hAnsi="仿宋_GB2312" w:eastAsia="仿宋_GB2312" w:cs="仿宋_GB2312"/>
          <w:b/>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sz w:val="24"/>
          <w:szCs w:val="24"/>
        </w:rPr>
      </w:pPr>
      <w:r>
        <w:rPr>
          <w:rFonts w:hint="eastAsia" w:ascii="仿宋_GB2312" w:hAnsi="仿宋_GB2312" w:eastAsia="仿宋_GB2312" w:cs="仿宋_GB2312"/>
          <w:b/>
          <w:sz w:val="24"/>
          <w:szCs w:val="24"/>
        </w:rPr>
        <w:t>3、电子邮箱：所需报名资料传至邮箱</w:t>
      </w:r>
      <w:r>
        <w:rPr>
          <w:rFonts w:hint="eastAsia" w:ascii="仿宋_GB2312" w:hAnsi="仿宋_GB2312" w:eastAsia="仿宋_GB2312" w:cs="仿宋_GB2312"/>
          <w:b/>
          <w:sz w:val="24"/>
          <w:szCs w:val="24"/>
          <w:u w:val="single"/>
        </w:rPr>
        <w:t>646269796@</w:t>
      </w:r>
      <w:r>
        <w:rPr>
          <w:rFonts w:hint="eastAsia" w:ascii="仿宋_GB2312" w:hAnsi="仿宋_GB2312" w:eastAsia="仿宋_GB2312" w:cs="仿宋_GB2312"/>
          <w:b/>
          <w:sz w:val="24"/>
          <w:szCs w:val="24"/>
        </w:rPr>
        <w:t xml:space="preserve"> qq.com，同时和工作人员胡工（电话：15700099079）联系、确认。</w:t>
      </w:r>
    </w:p>
    <w:p>
      <w:pPr>
        <w:pStyle w:val="4"/>
        <w:spacing w:line="360" w:lineRule="auto"/>
        <w:ind w:firstLine="506" w:firstLineChars="210"/>
        <w:rPr>
          <w:rFonts w:ascii="仿宋_GB2312" w:hAnsi="仿宋" w:eastAsia="仿宋_GB2312"/>
          <w:b/>
          <w:sz w:val="24"/>
          <w:szCs w:val="24"/>
        </w:rPr>
      </w:pPr>
      <w:r>
        <w:rPr>
          <w:rFonts w:hint="eastAsia" w:ascii="仿宋_GB2312" w:hAnsi="仿宋_GB2312" w:eastAsia="仿宋_GB2312" w:cs="仿宋_GB2312"/>
          <w:b/>
          <w:sz w:val="24"/>
          <w:szCs w:val="24"/>
        </w:rPr>
        <w:t>4、网上报名提供资料：</w:t>
      </w:r>
      <w:r>
        <w:rPr>
          <w:rFonts w:hint="eastAsia" w:ascii="仿宋_GB2312" w:hAnsi="仿宋" w:eastAsia="仿宋_GB2312"/>
          <w:b/>
          <w:sz w:val="24"/>
          <w:szCs w:val="24"/>
        </w:rPr>
        <w:t>通过年检有效的企业法人营业执照复印件、法定代表人授权书、受委托人身份证（原件）复印件。所有资料均需加盖公章后以扫描件形式传至招标人邮箱。</w:t>
      </w:r>
    </w:p>
    <w:p>
      <w:pPr>
        <w:pStyle w:val="4"/>
        <w:spacing w:line="360" w:lineRule="auto"/>
        <w:ind w:firstLine="506" w:firstLineChars="210"/>
        <w:rPr>
          <w:rFonts w:ascii="仿宋_GB2312" w:hAnsi="仿宋" w:eastAsia="仿宋_GB2312"/>
          <w:b/>
          <w:sz w:val="24"/>
          <w:szCs w:val="24"/>
        </w:rPr>
      </w:pPr>
      <w:r>
        <w:rPr>
          <w:rFonts w:hint="eastAsia" w:ascii="仿宋_GB2312" w:hAnsi="仿宋" w:eastAsia="仿宋_GB2312"/>
          <w:b/>
          <w:sz w:val="24"/>
          <w:szCs w:val="24"/>
        </w:rPr>
        <w:t>5、招标文件获取：杭州临江环境能源有限公司官网下载。</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五、投标截止时间和地点。</w:t>
      </w:r>
    </w:p>
    <w:p>
      <w:pPr>
        <w:pStyle w:val="18"/>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1、投标截止时间：2021年</w:t>
      </w:r>
      <w:r>
        <w:rPr>
          <w:rFonts w:hint="eastAsia" w:ascii="仿宋_GB2312" w:hAnsi="宋体" w:eastAsia="仿宋_GB2312"/>
          <w:sz w:val="24"/>
          <w:szCs w:val="24"/>
          <w:lang w:val="en-US" w:eastAsia="zh-CN"/>
        </w:rPr>
        <w:t>4</w:t>
      </w:r>
      <w:r>
        <w:rPr>
          <w:rFonts w:hint="eastAsia" w:ascii="仿宋_GB2312" w:hAnsi="宋体" w:eastAsia="仿宋_GB2312"/>
          <w:sz w:val="24"/>
          <w:szCs w:val="24"/>
        </w:rPr>
        <w:t>月</w:t>
      </w:r>
      <w:r>
        <w:rPr>
          <w:rFonts w:hint="eastAsia" w:ascii="仿宋_GB2312" w:hAnsi="宋体" w:eastAsia="仿宋_GB2312"/>
          <w:sz w:val="24"/>
          <w:szCs w:val="24"/>
          <w:lang w:val="en-US" w:eastAsia="zh-CN"/>
        </w:rPr>
        <w:t>13</w:t>
      </w:r>
      <w:r>
        <w:rPr>
          <w:rFonts w:hint="eastAsia" w:ascii="仿宋_GB2312" w:hAnsi="宋体" w:eastAsia="仿宋_GB2312"/>
          <w:sz w:val="24"/>
          <w:szCs w:val="24"/>
        </w:rPr>
        <w:t>日10:00。</w:t>
      </w:r>
    </w:p>
    <w:p>
      <w:pPr>
        <w:pStyle w:val="18"/>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2、投标地点：杭州临江环境能源有限公司投资部（杭州临江循环经济产业园）。</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六、开标时间和地点。</w:t>
      </w:r>
    </w:p>
    <w:p>
      <w:pPr>
        <w:pStyle w:val="4"/>
        <w:spacing w:line="360" w:lineRule="auto"/>
        <w:ind w:firstLine="504" w:firstLineChars="210"/>
        <w:rPr>
          <w:rFonts w:ascii="仿宋_GB2312" w:hAnsi="仿宋" w:eastAsia="仿宋_GB2312"/>
          <w:sz w:val="24"/>
          <w:szCs w:val="24"/>
        </w:rPr>
      </w:pPr>
      <w:r>
        <w:rPr>
          <w:rFonts w:hint="eastAsia" w:ascii="仿宋_GB2312" w:hAnsi="仿宋" w:eastAsia="仿宋_GB2312"/>
          <w:sz w:val="24"/>
          <w:szCs w:val="24"/>
        </w:rPr>
        <w:t>1、开标时间：</w:t>
      </w:r>
      <w:r>
        <w:rPr>
          <w:rFonts w:hint="eastAsia" w:ascii="仿宋_GB2312" w:hAnsi="仿宋_GB2312" w:eastAsia="仿宋_GB2312" w:cs="仿宋_GB2312"/>
          <w:sz w:val="24"/>
          <w:szCs w:val="24"/>
        </w:rPr>
        <w:t>2021年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日 10:00</w:t>
      </w:r>
      <w:r>
        <w:rPr>
          <w:rFonts w:hint="eastAsia" w:ascii="仿宋_GB2312" w:hAnsi="仿宋" w:eastAsia="仿宋_GB2312"/>
          <w:sz w:val="24"/>
          <w:szCs w:val="24"/>
        </w:rPr>
        <w:t>。</w:t>
      </w:r>
    </w:p>
    <w:p>
      <w:pPr>
        <w:pStyle w:val="4"/>
        <w:spacing w:line="360" w:lineRule="auto"/>
        <w:ind w:firstLine="504" w:firstLineChars="210"/>
        <w:rPr>
          <w:rFonts w:ascii="仿宋_GB2312" w:hAnsi="仿宋_GB2312" w:eastAsia="仿宋_GB2312" w:cs="仿宋_GB2312"/>
          <w:color w:val="000000"/>
          <w:sz w:val="24"/>
          <w:szCs w:val="24"/>
        </w:rPr>
      </w:pPr>
      <w:r>
        <w:rPr>
          <w:rFonts w:hint="eastAsia" w:ascii="仿宋_GB2312" w:hAnsi="仿宋" w:eastAsia="仿宋_GB2312"/>
          <w:sz w:val="24"/>
          <w:szCs w:val="24"/>
        </w:rPr>
        <w:t>2、开标地点</w:t>
      </w:r>
      <w:r>
        <w:rPr>
          <w:rFonts w:hint="eastAsia" w:ascii="仿宋_GB2312" w:hAnsi="仿宋_GB2312" w:eastAsia="仿宋_GB2312" w:cs="仿宋_GB2312"/>
          <w:color w:val="000000"/>
          <w:sz w:val="24"/>
          <w:szCs w:val="24"/>
        </w:rPr>
        <w:t>：杭州临江环境能源有限公司会议室（杭州临江循环经济产业园）。</w:t>
      </w:r>
    </w:p>
    <w:p>
      <w:pPr>
        <w:pStyle w:val="4"/>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rPr>
        <w:t>3、相关要求：根据新型冠状病毒疫情防控工作要求，为确保本项目公开招标工作有序开展，防止人员聚集引发疫情扩散，经研究决定如下：</w:t>
      </w:r>
    </w:p>
    <w:p>
      <w:pPr>
        <w:pStyle w:val="4"/>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rPr>
        <w:t>3.1谢绝疫情重点地区人员参与开标活动；</w:t>
      </w:r>
    </w:p>
    <w:p>
      <w:pPr>
        <w:pStyle w:val="4"/>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rPr>
        <w:t>3.</w:t>
      </w:r>
      <w:r>
        <w:rPr>
          <w:rFonts w:hint="eastAsia" w:ascii="仿宋_GB2312" w:hAnsi="仿宋_GB2312" w:eastAsia="仿宋_GB2312" w:cs="仿宋_GB2312"/>
          <w:b/>
          <w:sz w:val="24"/>
          <w:szCs w:val="24"/>
          <w:lang w:val="en-US" w:eastAsia="zh-CN"/>
        </w:rPr>
        <w:t>2</w:t>
      </w:r>
      <w:r>
        <w:rPr>
          <w:rFonts w:hint="eastAsia" w:ascii="仿宋_GB2312" w:hAnsi="仿宋_GB2312" w:eastAsia="仿宋_GB2312" w:cs="仿宋_GB2312"/>
          <w:b/>
          <w:sz w:val="24"/>
          <w:szCs w:val="24"/>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七、质疑。</w:t>
      </w:r>
    </w:p>
    <w:p>
      <w:pPr>
        <w:pStyle w:val="4"/>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投标人如认为招标文件使自身的合法权益受到损害的，应于自报名之日起1日内以书面形式向招标人提出质疑。逾期视作无异议。</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八、联系方式。</w:t>
      </w:r>
    </w:p>
    <w:p>
      <w:pPr>
        <w:pStyle w:val="6"/>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前期部：胡工         联系电话：</w:t>
      </w:r>
      <w:r>
        <w:rPr>
          <w:rFonts w:hint="eastAsia" w:ascii="仿宋_GB2312" w:hAnsi="仿宋_GB2312" w:eastAsia="仿宋_GB2312" w:cs="仿宋_GB2312"/>
          <w:sz w:val="24"/>
          <w:szCs w:val="24"/>
        </w:rPr>
        <w:t>15700099079</w:t>
      </w:r>
      <w:r>
        <w:rPr>
          <w:rFonts w:hint="eastAsia" w:ascii="仿宋_GB2312" w:hAnsi="仿宋" w:eastAsia="仿宋_GB2312"/>
          <w:sz w:val="24"/>
          <w:szCs w:val="24"/>
        </w:rPr>
        <w:t xml:space="preserve">                 </w:t>
      </w:r>
    </w:p>
    <w:p>
      <w:pPr>
        <w:pStyle w:val="6"/>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邮箱：</w:t>
      </w:r>
      <w:r>
        <w:rPr>
          <w:rFonts w:hint="eastAsia" w:ascii="仿宋_GB2312" w:hAnsi="仿宋_GB2312" w:eastAsia="仿宋_GB2312" w:cs="仿宋_GB2312"/>
          <w:sz w:val="24"/>
          <w:szCs w:val="24"/>
          <w:u w:val="single"/>
        </w:rPr>
        <w:t>646269796</w:t>
      </w:r>
      <w:r>
        <w:rPr>
          <w:rFonts w:hint="eastAsia" w:ascii="仿宋_GB2312" w:hAnsi="仿宋" w:eastAsia="仿宋_GB2312"/>
          <w:sz w:val="24"/>
          <w:szCs w:val="24"/>
        </w:rPr>
        <w:t>@qq.com</w:t>
      </w:r>
    </w:p>
    <w:p>
      <w:pPr>
        <w:pStyle w:val="6"/>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监督部门：范波      联系电话：13867172350</w:t>
      </w:r>
    </w:p>
    <w:p>
      <w:pPr>
        <w:pStyle w:val="4"/>
        <w:spacing w:line="360" w:lineRule="auto"/>
        <w:ind w:firstLine="0"/>
        <w:rPr>
          <w:rFonts w:ascii="仿宋_GB2312" w:hAnsi="宋体" w:eastAsia="仿宋_GB2312"/>
          <w:sz w:val="24"/>
          <w:szCs w:val="24"/>
        </w:rPr>
      </w:pP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杭州临江环境能源有限公司</w:t>
      </w:r>
      <w:r>
        <w:rPr>
          <w:rFonts w:ascii="仿宋_GB2312" w:hAnsi="宋体" w:eastAsia="仿宋_GB2312"/>
          <w:sz w:val="24"/>
          <w:szCs w:val="24"/>
        </w:rPr>
        <w:t xml:space="preserve">   </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w:t>
      </w:r>
      <w:r>
        <w:rPr>
          <w:rFonts w:ascii="仿宋_GB2312" w:hAnsi="宋体" w:eastAsia="仿宋_GB2312"/>
          <w:sz w:val="24"/>
          <w:szCs w:val="24"/>
        </w:rPr>
        <w:t>202</w:t>
      </w:r>
      <w:r>
        <w:rPr>
          <w:rFonts w:hint="eastAsia" w:ascii="仿宋_GB2312" w:hAnsi="宋体" w:eastAsia="仿宋_GB2312"/>
          <w:sz w:val="24"/>
          <w:szCs w:val="24"/>
        </w:rPr>
        <w:t>1年</w:t>
      </w:r>
      <w:r>
        <w:rPr>
          <w:rFonts w:hint="eastAsia" w:ascii="仿宋_GB2312" w:hAnsi="宋体" w:eastAsia="仿宋_GB2312"/>
          <w:sz w:val="24"/>
          <w:szCs w:val="24"/>
          <w:lang w:val="en-US" w:eastAsia="zh-CN"/>
        </w:rPr>
        <w:t>3</w:t>
      </w:r>
      <w:r>
        <w:rPr>
          <w:rFonts w:hint="eastAsia" w:ascii="仿宋_GB2312" w:hAnsi="宋体" w:eastAsia="仿宋_GB2312"/>
          <w:sz w:val="24"/>
          <w:szCs w:val="24"/>
        </w:rPr>
        <w:t>月</w:t>
      </w:r>
      <w:r>
        <w:rPr>
          <w:rFonts w:hint="eastAsia" w:ascii="仿宋_GB2312" w:hAnsi="宋体" w:eastAsia="仿宋_GB2312"/>
          <w:sz w:val="24"/>
          <w:szCs w:val="24"/>
          <w:lang w:val="en-US" w:eastAsia="zh-CN"/>
        </w:rPr>
        <w:t>30</w:t>
      </w:r>
      <w:r>
        <w:rPr>
          <w:rFonts w:hint="eastAsia" w:ascii="仿宋_GB2312" w:hAnsi="宋体" w:eastAsia="仿宋_GB2312"/>
          <w:sz w:val="24"/>
          <w:szCs w:val="24"/>
        </w:rPr>
        <w:t>日</w:t>
      </w:r>
    </w:p>
    <w:p>
      <w:pPr>
        <w:widowControl/>
        <w:shd w:val="clear" w:color="auto" w:fill="FFFFFF"/>
        <w:jc w:val="left"/>
        <w:rPr>
          <w:rFonts w:ascii="黑体" w:hAnsi="黑体" w:eastAsia="黑体" w:cs="宋体"/>
          <w:b/>
          <w:color w:val="333333"/>
          <w:spacing w:val="8"/>
          <w:kern w:val="0"/>
          <w:sz w:val="32"/>
          <w:szCs w:val="32"/>
        </w:rPr>
      </w:pPr>
      <w:r>
        <w:rPr>
          <w:rFonts w:ascii="仿宋_GB2312" w:hAnsi="宋体" w:eastAsia="仿宋_GB2312"/>
          <w:sz w:val="24"/>
          <w:szCs w:val="24"/>
        </w:rPr>
        <w:br w:type="page"/>
      </w:r>
      <w:r>
        <w:rPr>
          <w:rFonts w:hint="eastAsia" w:ascii="黑体" w:hAnsi="黑体" w:eastAsia="黑体" w:cs="宋体"/>
          <w:b/>
          <w:color w:val="333333"/>
          <w:spacing w:val="8"/>
          <w:kern w:val="0"/>
          <w:sz w:val="32"/>
          <w:szCs w:val="32"/>
        </w:rPr>
        <w:t>附件：</w:t>
      </w:r>
    </w:p>
    <w:p>
      <w:pPr>
        <w:jc w:val="center"/>
        <w:rPr>
          <w:rFonts w:ascii="微软雅黑" w:hAnsi="微软雅黑" w:eastAsia="微软雅黑"/>
          <w:b/>
          <w:color w:val="333333"/>
          <w:sz w:val="32"/>
          <w:szCs w:val="32"/>
          <w:shd w:val="clear" w:color="auto" w:fill="FFFFFF"/>
        </w:rPr>
      </w:pPr>
      <w:r>
        <w:rPr>
          <w:rFonts w:hint="eastAsia" w:ascii="微软雅黑" w:hAnsi="微软雅黑" w:eastAsia="微软雅黑"/>
          <w:b/>
          <w:color w:val="333333"/>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333333"/>
          <w:sz w:val="28"/>
          <w:szCs w:val="28"/>
          <w:shd w:val="clear" w:color="auto" w:fill="FFFFFF"/>
        </w:rPr>
      </w:pP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承诺人：</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身份证号：</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所属单位（公司） ：</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本人现郑重承诺：</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（四）杭州健康码显示为绿色。</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333333"/>
          <w:spacing w:val="8"/>
          <w:kern w:val="0"/>
          <w:sz w:val="32"/>
          <w:szCs w:val="32"/>
        </w:rPr>
      </w:pPr>
    </w:p>
    <w:p>
      <w:pPr>
        <w:spacing w:line="560" w:lineRule="exact"/>
        <w:ind w:firstLine="840" w:firstLineChars="25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承诺人签字及公司盖章： </w:t>
      </w:r>
    </w:p>
    <w:p>
      <w:pPr>
        <w:spacing w:line="560" w:lineRule="exact"/>
        <w:ind w:firstLine="840" w:firstLineChars="25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承诺人联系电话：</w:t>
      </w:r>
    </w:p>
    <w:p>
      <w:pPr>
        <w:spacing w:line="560" w:lineRule="exact"/>
        <w:ind w:firstLine="1008" w:firstLineChars="300"/>
        <w:rPr>
          <w:rFonts w:ascii="仿宋" w:hAnsi="仿宋" w:eastAsia="仿宋"/>
          <w:bCs/>
          <w:sz w:val="24"/>
        </w:rPr>
      </w:pPr>
      <w:r>
        <w:rPr>
          <w:rFonts w:hint="eastAsia" w:ascii="仿宋" w:hAnsi="仿宋" w:eastAsia="仿宋" w:cs="宋体"/>
          <w:color w:val="333333"/>
          <w:spacing w:val="8"/>
          <w:kern w:val="0"/>
          <w:sz w:val="32"/>
          <w:szCs w:val="32"/>
        </w:rPr>
        <w:t>承诺时间：</w:t>
      </w:r>
      <w:r>
        <w:rPr>
          <w:rFonts w:hint="eastAsia" w:ascii="微软雅黑" w:hAnsi="微软雅黑" w:eastAsia="微软雅黑"/>
          <w:color w:val="333333"/>
          <w:sz w:val="28"/>
          <w:szCs w:val="28"/>
        </w:rPr>
        <w:br w:type="textWrapping"/>
      </w:r>
    </w:p>
    <w:p>
      <w:pPr>
        <w:pStyle w:val="4"/>
        <w:spacing w:line="360" w:lineRule="auto"/>
        <w:ind w:firstLine="504" w:firstLineChars="210"/>
        <w:rPr>
          <w:rFonts w:ascii="仿宋_GB2312" w:hAnsi="宋体" w:eastAsia="仿宋_GB2312"/>
          <w:sz w:val="24"/>
          <w:szCs w:val="24"/>
        </w:rPr>
      </w:pPr>
    </w:p>
    <w:p>
      <w:pPr>
        <w:spacing w:line="360" w:lineRule="auto"/>
        <w:rPr>
          <w:rFonts w:ascii="仿宋_GB2312" w:hAnsi="宋体" w:eastAsia="仿宋_GB2312"/>
          <w:sz w:val="30"/>
        </w:rPr>
        <w:sectPr>
          <w:pgSz w:w="11906" w:h="16838"/>
          <w:pgMar w:top="1701" w:right="1418" w:bottom="1134" w:left="1418" w:header="851" w:footer="992" w:gutter="0"/>
          <w:cols w:space="720" w:num="1"/>
          <w:docGrid w:linePitch="312" w:charSpace="0"/>
        </w:sectPr>
      </w:pPr>
    </w:p>
    <w:p>
      <w:pPr>
        <w:pStyle w:val="8"/>
        <w:spacing w:line="360" w:lineRule="auto"/>
        <w:rPr>
          <w:rStyle w:val="13"/>
          <w:rFonts w:ascii="仿宋_GB2312" w:eastAsia="仿宋_GB2312"/>
          <w:b/>
          <w:spacing w:val="0"/>
          <w:sz w:val="44"/>
          <w:lang w:val="en-GB"/>
        </w:rPr>
      </w:pPr>
      <w:bookmarkStart w:id="19" w:name="page5"/>
      <w:bookmarkEnd w:id="19"/>
      <w:bookmarkStart w:id="20" w:name="_Toc509228318"/>
      <w:bookmarkStart w:id="21" w:name="_Toc509229844"/>
      <w:r>
        <w:rPr>
          <w:rStyle w:val="13"/>
          <w:rFonts w:ascii="仿宋_GB2312" w:eastAsia="仿宋_GB2312"/>
          <w:b w:val="0"/>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3"/>
          <w:rFonts w:ascii="仿宋_GB2312" w:eastAsia="仿宋_GB2312"/>
          <w:b/>
          <w:spacing w:val="0"/>
          <w:sz w:val="44"/>
          <w:lang w:val="en-GB"/>
        </w:rPr>
        <w:t>第二</w:t>
      </w:r>
      <w:r>
        <w:rPr>
          <w:rStyle w:val="13"/>
          <w:rFonts w:hint="eastAsia" w:ascii="仿宋_GB2312" w:eastAsia="仿宋_GB2312"/>
          <w:b/>
          <w:spacing w:val="0"/>
          <w:sz w:val="44"/>
          <w:lang w:val="en-GB"/>
        </w:rPr>
        <w:t xml:space="preserve">部分 </w:t>
      </w:r>
      <w:r>
        <w:rPr>
          <w:rStyle w:val="13"/>
          <w:rFonts w:ascii="仿宋_GB2312" w:eastAsia="仿宋_GB2312"/>
          <w:b/>
          <w:spacing w:val="0"/>
          <w:sz w:val="44"/>
          <w:lang w:val="en-GB"/>
        </w:rPr>
        <w:t xml:space="preserve"> </w:t>
      </w:r>
      <w:bookmarkEnd w:id="20"/>
      <w:bookmarkEnd w:id="21"/>
      <w:r>
        <w:rPr>
          <w:rStyle w:val="13"/>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ascii="仿宋_GB2312" w:eastAsia="仿宋_GB2312"/>
          <w:b/>
          <w:sz w:val="24"/>
        </w:rPr>
      </w:pPr>
      <w:r>
        <w:rPr>
          <w:rFonts w:hint="eastAsia" w:ascii="仿宋_GB2312" w:hAnsi="仿宋_GB2312" w:eastAsia="仿宋_GB2312" w:cs="仿宋_GB2312"/>
          <w:b/>
          <w:bCs/>
          <w:sz w:val="30"/>
          <w:szCs w:val="30"/>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序号</w:t>
            </w:r>
          </w:p>
        </w:tc>
        <w:tc>
          <w:tcPr>
            <w:tcW w:w="2740" w:type="dxa"/>
            <w:vAlign w:val="center"/>
          </w:tcPr>
          <w:p>
            <w:pPr>
              <w:spacing w:line="360" w:lineRule="auto"/>
              <w:jc w:val="center"/>
              <w:outlineLvl w:val="1"/>
              <w:rPr>
                <w:rFonts w:ascii="仿宋_GB2312" w:eastAsia="仿宋_GB2312"/>
                <w:sz w:val="24"/>
                <w:szCs w:val="24"/>
              </w:rPr>
            </w:pPr>
            <w:bookmarkStart w:id="22" w:name="_Toc509228321"/>
            <w:r>
              <w:rPr>
                <w:rFonts w:hint="eastAsia" w:ascii="仿宋_GB2312" w:eastAsia="仿宋_GB2312"/>
                <w:sz w:val="24"/>
                <w:szCs w:val="24"/>
              </w:rPr>
              <w:t>条款</w:t>
            </w:r>
            <w:r>
              <w:rPr>
                <w:rFonts w:ascii="仿宋_GB2312" w:eastAsia="仿宋_GB2312"/>
                <w:sz w:val="24"/>
                <w:szCs w:val="24"/>
              </w:rPr>
              <w:t>名称</w:t>
            </w:r>
            <w:bookmarkEnd w:id="22"/>
          </w:p>
        </w:tc>
        <w:tc>
          <w:tcPr>
            <w:tcW w:w="5906" w:type="dxa"/>
            <w:vAlign w:val="center"/>
          </w:tcPr>
          <w:p>
            <w:pPr>
              <w:spacing w:line="360" w:lineRule="auto"/>
              <w:jc w:val="center"/>
              <w:outlineLvl w:val="1"/>
              <w:rPr>
                <w:rFonts w:ascii="仿宋_GB2312" w:eastAsia="仿宋_GB2312"/>
                <w:sz w:val="24"/>
                <w:szCs w:val="24"/>
              </w:rPr>
            </w:pPr>
            <w:bookmarkStart w:id="23" w:name="_Toc509228322"/>
            <w:r>
              <w:rPr>
                <w:rFonts w:hint="eastAsia" w:ascii="仿宋_GB2312" w:eastAsia="仿宋_GB2312"/>
                <w:sz w:val="24"/>
                <w:szCs w:val="24"/>
              </w:rPr>
              <w:t>说明</w:t>
            </w:r>
            <w:r>
              <w:rPr>
                <w:rFonts w:ascii="仿宋_GB2312" w:eastAsia="仿宋_GB2312"/>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lang w:val="en-US" w:eastAsia="zh-CN"/>
              </w:rPr>
              <w:t>2021年</w:t>
            </w:r>
            <w:bookmarkStart w:id="49" w:name="_GoBack"/>
            <w:r>
              <w:rPr>
                <w:rFonts w:hint="eastAsia" w:ascii="仿宋_GB2312" w:eastAsia="仿宋_GB2312"/>
                <w:sz w:val="24"/>
                <w:szCs w:val="24"/>
              </w:rPr>
              <w:t>临江公司</w:t>
            </w:r>
            <w:bookmarkEnd w:id="49"/>
            <w:r>
              <w:rPr>
                <w:rFonts w:hint="eastAsia" w:ascii="仿宋_GB2312" w:eastAsia="仿宋_GB2312"/>
                <w:sz w:val="24"/>
                <w:szCs w:val="24"/>
              </w:rPr>
              <w:t>三固项目年度委外检测服务</w:t>
            </w:r>
          </w:p>
          <w:p>
            <w:pPr>
              <w:spacing w:line="360" w:lineRule="auto"/>
              <w:jc w:val="left"/>
              <w:outlineLvl w:val="1"/>
              <w:rPr>
                <w:rFonts w:ascii="仿宋_GB2312" w:eastAsia="仿宋_GB2312"/>
                <w:sz w:val="24"/>
                <w:szCs w:val="24"/>
              </w:rPr>
            </w:pPr>
            <w:r>
              <w:rPr>
                <w:rFonts w:hint="eastAsia" w:ascii="仿宋_GB2312" w:eastAsia="仿宋_GB2312"/>
                <w:sz w:val="24"/>
                <w:szCs w:val="24"/>
              </w:rPr>
              <w:t>（招标编号：</w:t>
            </w:r>
            <w:r>
              <w:rPr>
                <w:rFonts w:hint="eastAsia" w:ascii="仿宋_GB2312" w:eastAsia="仿宋_GB2312"/>
                <w:sz w:val="24"/>
                <w:szCs w:val="24"/>
                <w:u w:val="single"/>
              </w:rPr>
              <w:t xml:space="preserve"> 2021030</w:t>
            </w:r>
            <w:r>
              <w:rPr>
                <w:rFonts w:hint="eastAsia" w:ascii="仿宋_GB2312" w:eastAsia="仿宋_GB2312"/>
                <w:sz w:val="24"/>
                <w:szCs w:val="24"/>
                <w:u w:val="single"/>
                <w:lang w:val="en-US" w:eastAsia="zh-CN"/>
              </w:rPr>
              <w:t>15</w:t>
            </w:r>
            <w:r>
              <w:rPr>
                <w:rFonts w:hint="eastAsia" w:ascii="仿宋_GB2312" w:eastAsia="仿宋_GB2312"/>
                <w:sz w:val="24"/>
                <w:szCs w:val="24"/>
                <w:u w:val="single"/>
              </w:rPr>
              <w:t xml:space="preserve"> </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2</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招标人</w:t>
            </w:r>
          </w:p>
        </w:tc>
        <w:tc>
          <w:tcPr>
            <w:tcW w:w="5906" w:type="dxa"/>
            <w:vAlign w:val="center"/>
          </w:tcPr>
          <w:p>
            <w:pPr>
              <w:spacing w:line="360" w:lineRule="auto"/>
              <w:jc w:val="left"/>
              <w:outlineLvl w:val="1"/>
              <w:rPr>
                <w:rFonts w:ascii="仿宋_GB2312" w:eastAsia="仿宋_GB2312"/>
                <w:sz w:val="24"/>
                <w:szCs w:val="24"/>
              </w:rPr>
            </w:pPr>
            <w:bookmarkStart w:id="24" w:name="_Toc509228331"/>
            <w:r>
              <w:rPr>
                <w:rFonts w:hint="eastAsia" w:ascii="仿宋_GB2312" w:eastAsia="仿宋_GB2312"/>
                <w:sz w:val="24"/>
                <w:szCs w:val="24"/>
              </w:rPr>
              <w:t>杭州临江环境能源</w:t>
            </w:r>
            <w:r>
              <w:rPr>
                <w:rFonts w:ascii="仿宋_GB2312" w:eastAsia="仿宋_GB2312"/>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3</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采购内容</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评审办法</w:t>
            </w:r>
          </w:p>
        </w:tc>
        <w:tc>
          <w:tcPr>
            <w:tcW w:w="5906" w:type="dxa"/>
            <w:vAlign w:val="center"/>
          </w:tcPr>
          <w:p>
            <w:pPr>
              <w:spacing w:line="360" w:lineRule="auto"/>
              <w:outlineLvl w:val="1"/>
              <w:rPr>
                <w:rFonts w:ascii="仿宋_GB2312" w:eastAsia="仿宋_GB2312"/>
                <w:sz w:val="24"/>
                <w:szCs w:val="24"/>
              </w:rPr>
            </w:pPr>
            <w:r>
              <w:rPr>
                <w:rFonts w:hint="eastAsia" w:ascii="仿宋_GB2312" w:eastAsia="仿宋_GB2312"/>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5</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sz w:val="24"/>
                <w:szCs w:val="24"/>
              </w:rPr>
            </w:pPr>
            <w:r>
              <w:rPr>
                <w:rFonts w:hint="eastAsia" w:ascii="仿宋_GB2312" w:hAnsi="宋体"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kern w:val="0"/>
                <w:sz w:val="24"/>
                <w:szCs w:val="24"/>
              </w:rPr>
            </w:pPr>
            <w:r>
              <w:rPr>
                <w:rFonts w:hint="eastAsia" w:ascii="仿宋_GB2312" w:hAnsi="宋体" w:eastAsia="仿宋_GB2312"/>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6</w:t>
            </w:r>
          </w:p>
        </w:tc>
        <w:tc>
          <w:tcPr>
            <w:tcW w:w="2740" w:type="dxa"/>
            <w:vAlign w:val="center"/>
          </w:tcPr>
          <w:p>
            <w:pPr>
              <w:spacing w:line="360" w:lineRule="auto"/>
              <w:jc w:val="center"/>
              <w:outlineLvl w:val="1"/>
              <w:rPr>
                <w:rFonts w:ascii="仿宋_GB2312" w:eastAsia="仿宋_GB2312"/>
                <w:sz w:val="24"/>
                <w:szCs w:val="24"/>
              </w:rPr>
            </w:pPr>
            <w:bookmarkStart w:id="25" w:name="_Toc509228352"/>
            <w:r>
              <w:rPr>
                <w:rFonts w:hint="eastAsia" w:ascii="仿宋_GB2312" w:eastAsia="仿宋_GB2312"/>
                <w:sz w:val="24"/>
                <w:szCs w:val="24"/>
              </w:rPr>
              <w:t>投标</w:t>
            </w:r>
            <w:r>
              <w:rPr>
                <w:rFonts w:ascii="仿宋_GB2312" w:eastAsia="仿宋_GB2312"/>
                <w:sz w:val="24"/>
                <w:szCs w:val="24"/>
              </w:rPr>
              <w:t>费用</w:t>
            </w:r>
            <w:bookmarkEnd w:id="25"/>
          </w:p>
        </w:tc>
        <w:tc>
          <w:tcPr>
            <w:tcW w:w="5906" w:type="dxa"/>
          </w:tcPr>
          <w:p>
            <w:pPr>
              <w:spacing w:line="360" w:lineRule="auto"/>
              <w:jc w:val="left"/>
              <w:outlineLvl w:val="1"/>
              <w:rPr>
                <w:rFonts w:ascii="仿宋_GB2312" w:eastAsia="仿宋_GB2312"/>
                <w:sz w:val="24"/>
                <w:szCs w:val="24"/>
              </w:rPr>
            </w:pPr>
            <w:bookmarkStart w:id="26"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7</w:t>
            </w:r>
          </w:p>
        </w:tc>
        <w:tc>
          <w:tcPr>
            <w:tcW w:w="2740" w:type="dxa"/>
            <w:vAlign w:val="center"/>
          </w:tcPr>
          <w:p>
            <w:pPr>
              <w:spacing w:line="360" w:lineRule="auto"/>
              <w:jc w:val="center"/>
              <w:outlineLvl w:val="1"/>
              <w:rPr>
                <w:rFonts w:ascii="仿宋_GB2312" w:eastAsia="仿宋_GB2312"/>
                <w:sz w:val="24"/>
                <w:szCs w:val="24"/>
              </w:rPr>
            </w:pPr>
            <w:bookmarkStart w:id="27" w:name="_Toc509228355"/>
            <w:r>
              <w:rPr>
                <w:rFonts w:hint="eastAsia" w:ascii="仿宋_GB2312" w:eastAsia="仿宋_GB2312"/>
                <w:sz w:val="24"/>
                <w:szCs w:val="24"/>
              </w:rPr>
              <w:t>最高</w:t>
            </w:r>
            <w:r>
              <w:rPr>
                <w:rFonts w:ascii="仿宋_GB2312" w:eastAsia="仿宋_GB2312"/>
                <w:sz w:val="24"/>
                <w:szCs w:val="24"/>
              </w:rPr>
              <w:t>限价</w:t>
            </w:r>
            <w:bookmarkEnd w:id="27"/>
          </w:p>
        </w:tc>
        <w:tc>
          <w:tcPr>
            <w:tcW w:w="5906" w:type="dxa"/>
          </w:tcPr>
          <w:p>
            <w:pPr>
              <w:pStyle w:val="4"/>
              <w:spacing w:line="360" w:lineRule="auto"/>
              <w:ind w:firstLine="0"/>
              <w:rPr>
                <w:rFonts w:ascii="仿宋_GB2312" w:eastAsia="仿宋_GB2312"/>
                <w:sz w:val="24"/>
                <w:szCs w:val="24"/>
              </w:rPr>
            </w:pPr>
            <w:r>
              <w:rPr>
                <w:rFonts w:hint="eastAsia" w:ascii="仿宋_GB2312" w:hAnsi="宋体" w:eastAsia="仿宋_GB2312"/>
                <w:sz w:val="24"/>
                <w:szCs w:val="24"/>
              </w:rPr>
              <w:t>75万元（含税）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8</w:t>
            </w:r>
          </w:p>
        </w:tc>
        <w:tc>
          <w:tcPr>
            <w:tcW w:w="2740" w:type="dxa"/>
            <w:vAlign w:val="center"/>
          </w:tcPr>
          <w:p>
            <w:pPr>
              <w:spacing w:line="360" w:lineRule="auto"/>
              <w:jc w:val="center"/>
              <w:outlineLvl w:val="1"/>
              <w:rPr>
                <w:rFonts w:ascii="仿宋_GB2312" w:eastAsia="仿宋_GB2312"/>
                <w:sz w:val="24"/>
                <w:szCs w:val="24"/>
              </w:rPr>
            </w:pPr>
            <w:bookmarkStart w:id="28" w:name="_Toc509228358"/>
            <w:r>
              <w:rPr>
                <w:rFonts w:hint="eastAsia" w:ascii="仿宋_GB2312" w:eastAsia="仿宋_GB2312"/>
                <w:sz w:val="24"/>
                <w:szCs w:val="24"/>
              </w:rPr>
              <w:t>投标</w:t>
            </w:r>
            <w:r>
              <w:rPr>
                <w:rFonts w:ascii="仿宋_GB2312" w:eastAsia="仿宋_GB2312"/>
                <w:sz w:val="24"/>
                <w:szCs w:val="24"/>
              </w:rPr>
              <w:t>保证金</w:t>
            </w:r>
            <w:bookmarkEnd w:id="28"/>
          </w:p>
        </w:tc>
        <w:tc>
          <w:tcPr>
            <w:tcW w:w="5906" w:type="dxa"/>
          </w:tcPr>
          <w:p>
            <w:pPr>
              <w:numPr>
                <w:ilvl w:val="0"/>
                <w:numId w:val="2"/>
              </w:numPr>
              <w:spacing w:line="360" w:lineRule="auto"/>
              <w:ind w:left="0" w:firstLine="0"/>
              <w:jc w:val="left"/>
              <w:rPr>
                <w:rFonts w:ascii="仿宋_GB2312" w:hAnsi="宋体" w:eastAsia="仿宋_GB2312"/>
                <w:sz w:val="24"/>
                <w:szCs w:val="24"/>
              </w:rPr>
            </w:pPr>
            <w:bookmarkStart w:id="29" w:name="_Toc509228359"/>
            <w:r>
              <w:rPr>
                <w:rFonts w:hint="eastAsia" w:ascii="仿宋_GB2312" w:hAnsi="宋体" w:eastAsia="仿宋_GB2312"/>
                <w:sz w:val="24"/>
                <w:szCs w:val="24"/>
              </w:rPr>
              <w:t>本招标项目投标保证金为15000元（大写</w:t>
            </w:r>
            <w:r>
              <w:rPr>
                <w:rFonts w:ascii="仿宋_GB2312" w:hAnsi="宋体" w:eastAsia="仿宋_GB2312"/>
                <w:sz w:val="24"/>
                <w:szCs w:val="24"/>
              </w:rPr>
              <w:t>：</w:t>
            </w:r>
            <w:r>
              <w:rPr>
                <w:rFonts w:hint="eastAsia" w:ascii="仿宋_GB2312" w:hAnsi="宋体" w:eastAsia="仿宋_GB2312"/>
                <w:sz w:val="24"/>
                <w:szCs w:val="24"/>
              </w:rPr>
              <w:t>壹万伍仟整），</w:t>
            </w:r>
            <w:r>
              <w:rPr>
                <w:rFonts w:hint="eastAsia" w:ascii="仿宋_GB2312" w:hAnsi="宋体" w:eastAsia="仿宋_GB2312"/>
                <w:b/>
                <w:bCs/>
                <w:sz w:val="24"/>
                <w:szCs w:val="24"/>
              </w:rPr>
              <w:t>打款信息</w:t>
            </w:r>
            <w:r>
              <w:rPr>
                <w:rFonts w:hint="eastAsia" w:ascii="仿宋_GB2312" w:hAnsi="宋体" w:eastAsia="仿宋_GB2312"/>
                <w:b/>
                <w:bCs/>
                <w:color w:val="auto"/>
                <w:sz w:val="24"/>
                <w:szCs w:val="24"/>
              </w:rPr>
              <w:t>需</w:t>
            </w:r>
            <w:r>
              <w:rPr>
                <w:rFonts w:hint="eastAsia" w:ascii="仿宋_GB2312" w:hAnsi="宋体" w:eastAsia="仿宋_GB2312"/>
                <w:b/>
                <w:bCs/>
                <w:sz w:val="24"/>
                <w:szCs w:val="24"/>
              </w:rPr>
              <w:t>注明临江公司三固项目年度委外检测投标保证金</w:t>
            </w:r>
            <w:r>
              <w:rPr>
                <w:rFonts w:hint="eastAsia" w:ascii="仿宋_GB2312" w:hAnsi="宋体" w:eastAsia="仿宋_GB2312"/>
                <w:sz w:val="24"/>
                <w:szCs w:val="24"/>
              </w:rPr>
              <w:t>，投标人应在投标截止日前以电汇或网银转账方式缴纳至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rPr>
              <w:t>临江环境能源有限公司。同时将银行缴款凭证复印件作为投标文件组成部分。</w:t>
            </w:r>
          </w:p>
          <w:p>
            <w:pPr>
              <w:pStyle w:val="15"/>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2、户    名：杭州临江环境能源有限公司</w:t>
            </w:r>
          </w:p>
          <w:p>
            <w:pPr>
              <w:pStyle w:val="15"/>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开户银行：招商银行杭州分行滨江支行</w:t>
            </w:r>
          </w:p>
          <w:p>
            <w:pPr>
              <w:spacing w:line="360" w:lineRule="auto"/>
              <w:jc w:val="left"/>
              <w:outlineLvl w:val="1"/>
              <w:rPr>
                <w:rFonts w:ascii="仿宋_GB2312" w:eastAsia="仿宋_GB2312"/>
                <w:sz w:val="24"/>
                <w:szCs w:val="24"/>
              </w:rPr>
            </w:pPr>
            <w:r>
              <w:rPr>
                <w:rFonts w:hint="eastAsia" w:ascii="仿宋_GB2312" w:eastAsia="仿宋_GB2312"/>
                <w:sz w:val="24"/>
                <w:szCs w:val="24"/>
              </w:rPr>
              <w:t xml:space="preserve">   帐    号：</w:t>
            </w:r>
            <w:bookmarkEnd w:id="29"/>
            <w:r>
              <w:rPr>
                <w:rFonts w:hint="eastAsia" w:ascii="仿宋_GB2312" w:eastAsia="仿宋_GB2312"/>
                <w:sz w:val="24"/>
                <w:szCs w:val="24"/>
              </w:rPr>
              <w:t>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9</w:t>
            </w:r>
          </w:p>
        </w:tc>
        <w:tc>
          <w:tcPr>
            <w:tcW w:w="2740" w:type="dxa"/>
            <w:vAlign w:val="center"/>
          </w:tcPr>
          <w:p>
            <w:pPr>
              <w:spacing w:line="360" w:lineRule="auto"/>
              <w:jc w:val="center"/>
              <w:outlineLvl w:val="1"/>
              <w:rPr>
                <w:rFonts w:ascii="仿宋_GB2312" w:eastAsia="仿宋_GB2312"/>
                <w:sz w:val="24"/>
                <w:szCs w:val="24"/>
              </w:rPr>
            </w:pPr>
            <w:bookmarkStart w:id="30" w:name="_Toc509228366"/>
            <w:r>
              <w:rPr>
                <w:rFonts w:hint="eastAsia" w:ascii="仿宋_GB2312" w:eastAsia="仿宋_GB2312"/>
                <w:sz w:val="24"/>
                <w:szCs w:val="24"/>
              </w:rPr>
              <w:t>投标截止</w:t>
            </w:r>
            <w:r>
              <w:rPr>
                <w:rFonts w:ascii="仿宋_GB2312" w:eastAsia="仿宋_GB2312"/>
                <w:sz w:val="24"/>
                <w:szCs w:val="24"/>
              </w:rPr>
              <w:t>时间及地点</w:t>
            </w:r>
            <w:bookmarkEnd w:id="30"/>
          </w:p>
        </w:tc>
        <w:tc>
          <w:tcPr>
            <w:tcW w:w="5906" w:type="dxa"/>
          </w:tcPr>
          <w:p>
            <w:pPr>
              <w:pStyle w:val="4"/>
              <w:spacing w:line="360" w:lineRule="auto"/>
              <w:ind w:firstLine="0"/>
              <w:jc w:val="left"/>
              <w:rPr>
                <w:rFonts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2021年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 xml:space="preserve">日 </w:t>
            </w:r>
            <w:r>
              <w:rPr>
                <w:rFonts w:hint="eastAsia" w:ascii="仿宋_GB2312" w:hAnsi="仿宋" w:eastAsia="仿宋_GB2312"/>
                <w:sz w:val="24"/>
                <w:szCs w:val="24"/>
              </w:rPr>
              <w:t>10:00。</w:t>
            </w:r>
          </w:p>
          <w:p>
            <w:pPr>
              <w:spacing w:line="360" w:lineRule="auto"/>
              <w:jc w:val="left"/>
              <w:outlineLvl w:val="1"/>
              <w:rPr>
                <w:rFonts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10</w:t>
            </w:r>
          </w:p>
        </w:tc>
        <w:tc>
          <w:tcPr>
            <w:tcW w:w="2740" w:type="dxa"/>
            <w:vAlign w:val="center"/>
          </w:tcPr>
          <w:p>
            <w:pPr>
              <w:spacing w:line="360" w:lineRule="auto"/>
              <w:jc w:val="center"/>
              <w:outlineLvl w:val="1"/>
              <w:rPr>
                <w:rFonts w:ascii="仿宋_GB2312" w:eastAsia="仿宋_GB2312"/>
                <w:sz w:val="24"/>
                <w:szCs w:val="24"/>
              </w:rPr>
            </w:pPr>
            <w:bookmarkStart w:id="31" w:name="_Toc509228373"/>
            <w:r>
              <w:rPr>
                <w:rFonts w:hint="eastAsia" w:ascii="仿宋_GB2312" w:eastAsia="仿宋_GB2312"/>
                <w:sz w:val="24"/>
                <w:szCs w:val="24"/>
              </w:rPr>
              <w:t>投标文件的签署和份数</w:t>
            </w:r>
            <w:bookmarkEnd w:id="31"/>
          </w:p>
        </w:tc>
        <w:tc>
          <w:tcPr>
            <w:tcW w:w="5906" w:type="dxa"/>
          </w:tcPr>
          <w:p>
            <w:pPr>
              <w:numPr>
                <w:ilvl w:val="0"/>
                <w:numId w:val="3"/>
              </w:numPr>
              <w:spacing w:line="360" w:lineRule="auto"/>
              <w:ind w:left="0" w:firstLine="0"/>
              <w:jc w:val="left"/>
              <w:rPr>
                <w:rFonts w:ascii="仿宋_GB2312" w:hAnsi="宋体" w:eastAsia="仿宋_GB2312"/>
                <w:sz w:val="24"/>
                <w:szCs w:val="24"/>
              </w:rPr>
            </w:pPr>
            <w:bookmarkStart w:id="32"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并在封皮上注明：项目名称、招标编号、投标人名称、全权代表姓名。</w:t>
            </w:r>
            <w:r>
              <w:rPr>
                <w:rFonts w:hint="eastAsia" w:ascii="仿宋_GB2312" w:hAnsi="宋体" w:eastAsia="仿宋_GB2312"/>
                <w:sz w:val="24"/>
                <w:szCs w:val="24"/>
              </w:rPr>
              <w:t>投标文件凡需要盖章处均须由投标人盖公章，并由法定代表人或全权代表签署，投标人应写全称。</w:t>
            </w:r>
            <w:bookmarkEnd w:id="32"/>
          </w:p>
          <w:p>
            <w:pPr>
              <w:numPr>
                <w:ilvl w:val="0"/>
                <w:numId w:val="3"/>
              </w:numPr>
              <w:spacing w:line="360" w:lineRule="auto"/>
              <w:ind w:left="0" w:firstLine="0"/>
              <w:jc w:val="left"/>
              <w:rPr>
                <w:rFonts w:ascii="仿宋_GB2312" w:eastAsia="仿宋_GB2312"/>
                <w:sz w:val="24"/>
                <w:szCs w:val="24"/>
              </w:rPr>
            </w:pPr>
            <w:bookmarkStart w:id="33" w:name="_Toc509228376"/>
            <w:r>
              <w:rPr>
                <w:rFonts w:hint="eastAsia" w:ascii="仿宋_GB2312" w:hAnsi="宋体" w:eastAsia="仿宋_GB2312"/>
                <w:sz w:val="24"/>
                <w:szCs w:val="24"/>
              </w:rPr>
              <w:t>投标人应按照招标文件格式要求制作投标文件封面，标书正本壹份，副本壹份。</w:t>
            </w:r>
            <w:bookmarkEnd w:id="3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11</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tcPr>
          <w:p>
            <w:pPr>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sz w:val="24"/>
                <w:szCs w:val="24"/>
              </w:rPr>
            </w:pPr>
            <w:r>
              <w:rPr>
                <w:rFonts w:hint="eastAsia" w:ascii="仿宋_GB2312" w:hAnsi="宋体" w:eastAsia="仿宋_GB2312"/>
                <w:sz w:val="24"/>
                <w:szCs w:val="24"/>
              </w:rPr>
              <w:t>12</w:t>
            </w:r>
          </w:p>
        </w:tc>
        <w:tc>
          <w:tcPr>
            <w:tcW w:w="274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开标时间地点</w:t>
            </w:r>
          </w:p>
        </w:tc>
        <w:tc>
          <w:tcPr>
            <w:tcW w:w="5906" w:type="dxa"/>
            <w:vAlign w:val="center"/>
          </w:tcPr>
          <w:p>
            <w:pPr>
              <w:numPr>
                <w:ilvl w:val="0"/>
                <w:numId w:val="4"/>
              </w:numPr>
              <w:spacing w:line="360" w:lineRule="auto"/>
              <w:jc w:val="left"/>
              <w:rPr>
                <w:rFonts w:ascii="仿宋_GB2312" w:hAnsi="宋体" w:eastAsia="仿宋_GB2312"/>
                <w:sz w:val="24"/>
                <w:szCs w:val="24"/>
              </w:rPr>
            </w:pPr>
            <w:r>
              <w:rPr>
                <w:rFonts w:hint="eastAsia" w:ascii="仿宋_GB2312" w:hAnsi="宋体" w:eastAsia="仿宋_GB2312"/>
                <w:sz w:val="24"/>
                <w:szCs w:val="24"/>
              </w:rPr>
              <w:t>2021年</w:t>
            </w:r>
            <w:r>
              <w:rPr>
                <w:rFonts w:hint="eastAsia" w:ascii="仿宋_GB2312" w:hAnsi="宋体" w:eastAsia="仿宋_GB2312"/>
                <w:sz w:val="24"/>
                <w:szCs w:val="24"/>
                <w:lang w:val="en-US" w:eastAsia="zh-CN"/>
              </w:rPr>
              <w:t>4</w:t>
            </w:r>
            <w:r>
              <w:rPr>
                <w:rFonts w:hint="eastAsia" w:ascii="仿宋_GB2312" w:hAnsi="宋体" w:eastAsia="仿宋_GB2312"/>
                <w:sz w:val="24"/>
                <w:szCs w:val="24"/>
              </w:rPr>
              <w:t>月</w:t>
            </w:r>
            <w:r>
              <w:rPr>
                <w:rFonts w:hint="eastAsia" w:ascii="仿宋_GB2312" w:hAnsi="宋体" w:eastAsia="仿宋_GB2312"/>
                <w:sz w:val="24"/>
                <w:szCs w:val="24"/>
                <w:lang w:val="en-US" w:eastAsia="zh-CN"/>
              </w:rPr>
              <w:t>13</w:t>
            </w:r>
            <w:r>
              <w:rPr>
                <w:rFonts w:hint="eastAsia" w:ascii="仿宋_GB2312" w:hAnsi="宋体" w:eastAsia="仿宋_GB2312"/>
                <w:sz w:val="24"/>
                <w:szCs w:val="24"/>
              </w:rPr>
              <w:t>日10:00，地点：杭州市临江环境能源有限公司会议室（杭州临江循环经济产业园）。</w:t>
            </w:r>
          </w:p>
          <w:p>
            <w:pPr>
              <w:numPr>
                <w:ilvl w:val="0"/>
                <w:numId w:val="4"/>
              </w:numPr>
              <w:spacing w:line="360" w:lineRule="auto"/>
              <w:jc w:val="left"/>
              <w:rPr>
                <w:rFonts w:eastAsia="等线 Light"/>
              </w:rPr>
            </w:pPr>
            <w:r>
              <w:rPr>
                <w:rFonts w:hint="eastAsia" w:ascii="仿宋_GB2312" w:hAnsi="宋体" w:eastAsia="仿宋_GB2312"/>
                <w:sz w:val="24"/>
                <w:szCs w:val="24"/>
              </w:rPr>
              <w:t xml:space="preserve"> 参与现场开评标的投标人须派全权代表参加。开标前，投标人全权代表须出示《参与杭州临江环境能源有限公司物资招投标人员健康承诺书》及本人身份证，非企业法定代表人的投标人全权代表还需出示法定代表人授权书，并经招标人工作人员验证确认。</w:t>
            </w:r>
          </w:p>
        </w:tc>
      </w:tr>
    </w:tbl>
    <w:p>
      <w:pPr>
        <w:widowControl/>
        <w:spacing w:line="360" w:lineRule="auto"/>
        <w:jc w:val="center"/>
        <w:rPr>
          <w:rFonts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1.1本招标文件适用于本次招标中所叙述的临江公司三固项目年度委外检测服务招标项目及其相关服务。</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的招标人，即杭州临江环境能源有限公司。</w:t>
      </w:r>
    </w:p>
    <w:p>
      <w:pPr>
        <w:spacing w:line="360" w:lineRule="auto"/>
        <w:ind w:firstLine="480" w:firstLineChars="200"/>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指本招标文件所要求的临江公司三固项目年度委外检测服务及其相关服务。</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杭州临江环境能源有限公司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2.6“全权代表”是指法定代表人或法定代表人授权委托人。</w:t>
      </w:r>
    </w:p>
    <w:p>
      <w:pPr>
        <w:spacing w:line="360" w:lineRule="auto"/>
        <w:ind w:right="3"/>
        <w:rPr>
          <w:rFonts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3.1本招标项目说明详见招标文件投标须知前附表。</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3.2</w:t>
      </w:r>
      <w:r>
        <w:rPr>
          <w:rFonts w:hint="eastAsia" w:ascii="仿宋_GB2312" w:hAnsi="宋体" w:eastAsia="仿宋_GB2312" w:cs="宋体"/>
          <w:b w:val="0"/>
          <w:bCs/>
          <w:color w:val="auto"/>
          <w:sz w:val="24"/>
          <w:szCs w:val="24"/>
        </w:rPr>
        <w:t>委托</w:t>
      </w:r>
      <w:r>
        <w:rPr>
          <w:rFonts w:hint="eastAsia" w:ascii="仿宋_GB2312" w:hAnsi="宋体" w:eastAsia="仿宋_GB2312" w:cs="宋体"/>
          <w:color w:val="000000"/>
          <w:sz w:val="24"/>
          <w:szCs w:val="24"/>
        </w:rPr>
        <w:t>数量：详见招标公告。</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3.2</w:t>
      </w:r>
      <w:r>
        <w:rPr>
          <w:rFonts w:hint="eastAsia" w:ascii="仿宋_GB2312" w:hAnsi="宋体" w:eastAsia="仿宋_GB2312" w:cs="宋体"/>
          <w:b w:val="0"/>
          <w:bCs/>
          <w:color w:val="auto"/>
          <w:sz w:val="24"/>
          <w:szCs w:val="24"/>
        </w:rPr>
        <w:t>委托</w:t>
      </w:r>
      <w:r>
        <w:rPr>
          <w:rFonts w:hint="eastAsia" w:ascii="仿宋_GB2312" w:hAnsi="宋体" w:eastAsia="仿宋_GB2312" w:cs="宋体"/>
          <w:color w:val="000000"/>
          <w:sz w:val="24"/>
          <w:szCs w:val="24"/>
        </w:rPr>
        <w:t>期限：详见合同主要条款。</w:t>
      </w:r>
    </w:p>
    <w:p>
      <w:pPr>
        <w:spacing w:line="360" w:lineRule="auto"/>
        <w:ind w:right="3"/>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4、合格投标人的条件</w:t>
      </w:r>
    </w:p>
    <w:p>
      <w:pPr>
        <w:spacing w:line="360" w:lineRule="auto"/>
        <w:ind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4.1凡符合</w:t>
      </w:r>
      <w:r>
        <w:rPr>
          <w:rFonts w:hint="eastAsia" w:ascii="仿宋_GB2312" w:hAnsi="宋体" w:eastAsia="仿宋_GB2312" w:cs="宋体"/>
          <w:color w:val="000000"/>
          <w:spacing w:val="4"/>
          <w:sz w:val="24"/>
          <w:szCs w:val="24"/>
        </w:rPr>
        <w:t>本招标文件</w:t>
      </w:r>
      <w:r>
        <w:rPr>
          <w:rFonts w:hint="eastAsia" w:ascii="仿宋_GB2312" w:hAnsi="宋体" w:eastAsia="仿宋_GB2312" w:cs="宋体"/>
          <w:color w:val="000000"/>
          <w:sz w:val="24"/>
          <w:szCs w:val="24"/>
        </w:rPr>
        <w:t>第一部分招标公告投标人资格要求的均为合格的投标人。</w:t>
      </w:r>
    </w:p>
    <w:p>
      <w:pPr>
        <w:ind w:firstLine="422" w:firstLineChars="200"/>
        <w:rPr>
          <w:rFonts w:ascii="仿宋_GB2312" w:hAnsi="仿宋_GB2312" w:eastAsia="仿宋_GB2312" w:cs="仿宋_GB2312"/>
          <w:b/>
          <w:szCs w:val="24"/>
        </w:rPr>
      </w:pPr>
    </w:p>
    <w:p>
      <w:pPr>
        <w:jc w:val="center"/>
        <w:rPr>
          <w:rFonts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投标文件部分格式范例</w:t>
      </w:r>
    </w:p>
    <w:p>
      <w:pPr>
        <w:tabs>
          <w:tab w:val="left" w:pos="0"/>
        </w:tabs>
        <w:spacing w:line="360" w:lineRule="auto"/>
        <w:ind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6、招标文件的澄清与修改</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6.1</w:t>
      </w:r>
      <w:r>
        <w:rPr>
          <w:rFonts w:hint="eastAsia" w:ascii="仿宋_GB2312" w:hAnsi="仿宋"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6.4投标人在收到招标文件澄清、修改通知或推迟投标截止时间和开标时间通知后，应在</w:t>
      </w:r>
      <w:r>
        <w:rPr>
          <w:rFonts w:hint="eastAsia" w:ascii="仿宋_GB2312" w:hAnsi="宋体" w:eastAsia="仿宋_GB2312" w:cs="宋体"/>
          <w:color w:val="000000"/>
          <w:sz w:val="24"/>
          <w:szCs w:val="24"/>
          <w:u w:val="single"/>
        </w:rPr>
        <w:t>1</w:t>
      </w:r>
      <w:r>
        <w:rPr>
          <w:rFonts w:hint="eastAsia" w:ascii="仿宋_GB2312" w:hAnsi="宋体" w:eastAsia="仿宋_GB2312" w:cs="宋体"/>
          <w:color w:val="000000"/>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szCs w:val="24"/>
        </w:rPr>
      </w:pPr>
    </w:p>
    <w:p>
      <w:pPr>
        <w:jc w:val="center"/>
        <w:rPr>
          <w:rFonts w:ascii="仿宋_GB2312" w:hAnsi="仿宋_GB2312" w:eastAsia="仿宋_GB2312" w:cs="仿宋_GB2312"/>
          <w:b/>
          <w:sz w:val="28"/>
          <w:szCs w:val="28"/>
          <w:lang w:val="en-GB"/>
        </w:rPr>
      </w:pPr>
      <w:r>
        <w:rPr>
          <w:rFonts w:hint="eastAsia" w:ascii="仿宋_GB2312" w:hAnsi="仿宋_GB2312" w:eastAsia="仿宋_GB2312" w:cs="仿宋_GB2312"/>
          <w:b/>
          <w:bCs/>
          <w:szCs w:val="24"/>
        </w:rPr>
        <w:t xml:space="preserve">   </w:t>
      </w: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7、投标文件的语言及度量衡单位</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7.1除招标</w:t>
      </w:r>
      <w:r>
        <w:rPr>
          <w:rFonts w:hint="eastAsia" w:ascii="仿宋_GB2312" w:hAnsi="宋体" w:eastAsia="仿宋_GB2312" w:cs="宋体"/>
          <w:b w:val="0"/>
          <w:bCs/>
          <w:color w:val="auto"/>
          <w:sz w:val="24"/>
          <w:szCs w:val="24"/>
        </w:rPr>
        <w:t>项目涉及</w:t>
      </w:r>
      <w:r>
        <w:rPr>
          <w:rFonts w:hint="eastAsia" w:ascii="仿宋_GB2312" w:hAnsi="宋体" w:eastAsia="仿宋_GB2312" w:cs="宋体"/>
          <w:color w:val="000000"/>
          <w:sz w:val="24"/>
          <w:szCs w:val="24"/>
        </w:rPr>
        <w:t>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0070C0"/>
          <w:sz w:val="24"/>
          <w:szCs w:val="24"/>
        </w:rPr>
      </w:pPr>
      <w:r>
        <w:rPr>
          <w:rFonts w:hint="eastAsia" w:ascii="仿宋_GB2312" w:hAnsi="宋体" w:eastAsia="仿宋_GB2312" w:cs="宋体"/>
          <w:color w:val="000000"/>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color w:val="FF0000"/>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8.1.1 投标响应函；（附件二）</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8.1.3 开标一览表；（附件四）</w:t>
      </w:r>
    </w:p>
    <w:p>
      <w:pPr>
        <w:pStyle w:val="2"/>
        <w:spacing w:before="0" w:line="360" w:lineRule="auto"/>
        <w:ind w:firstLine="480" w:firstLineChars="200"/>
        <w:rPr>
          <w:rFonts w:ascii="仿宋_GB2312" w:hAnsi="宋体" w:eastAsia="仿宋_GB2312" w:cs="宋体"/>
          <w:b w:val="0"/>
          <w:bCs w:val="0"/>
          <w:caps w:val="0"/>
          <w:color w:val="000000"/>
        </w:rPr>
      </w:pPr>
      <w:r>
        <w:rPr>
          <w:rFonts w:hint="eastAsia" w:ascii="仿宋_GB2312" w:hAnsi="宋体" w:eastAsia="仿宋_GB2312" w:cs="宋体"/>
          <w:b w:val="0"/>
          <w:bCs w:val="0"/>
          <w:caps w:val="0"/>
          <w:color w:val="000000"/>
        </w:rPr>
        <w:t>8.1.4报价明细表；（附件五）</w:t>
      </w:r>
    </w:p>
    <w:p>
      <w:pPr>
        <w:pStyle w:val="2"/>
        <w:spacing w:before="0" w:line="360" w:lineRule="auto"/>
        <w:ind w:firstLine="480" w:firstLineChars="200"/>
        <w:rPr>
          <w:rFonts w:ascii="仿宋_GB2312" w:hAnsi="宋体" w:eastAsia="仿宋_GB2312" w:cs="宋体"/>
          <w:b w:val="0"/>
          <w:bCs w:val="0"/>
          <w:caps w:val="0"/>
          <w:color w:val="000000"/>
        </w:rPr>
      </w:pPr>
      <w:r>
        <w:rPr>
          <w:rFonts w:hint="eastAsia" w:ascii="仿宋_GB2312" w:hAnsi="宋体" w:eastAsia="仿宋_GB2312" w:cs="宋体"/>
          <w:b w:val="0"/>
          <w:bCs w:val="0"/>
          <w:caps w:val="0"/>
          <w:color w:val="000000"/>
        </w:rPr>
        <w:t>8.1.5 招标要求偏离说明表；（附件七）</w:t>
      </w:r>
    </w:p>
    <w:p>
      <w:pPr>
        <w:pStyle w:val="2"/>
        <w:spacing w:before="0" w:line="360" w:lineRule="auto"/>
        <w:ind w:firstLine="480" w:firstLineChars="200"/>
        <w:rPr>
          <w:rFonts w:ascii="仿宋_GB2312" w:hAnsi="宋体" w:eastAsia="仿宋_GB2312" w:cs="宋体"/>
          <w:b w:val="0"/>
          <w:bCs w:val="0"/>
          <w:caps w:val="0"/>
          <w:color w:val="000000"/>
        </w:rPr>
      </w:pPr>
      <w:r>
        <w:rPr>
          <w:rFonts w:hint="eastAsia" w:ascii="仿宋_GB2312" w:hAnsi="宋体" w:eastAsia="仿宋_GB2312" w:cs="宋体"/>
          <w:b w:val="0"/>
          <w:bCs w:val="0"/>
          <w:caps w:val="0"/>
          <w:color w:val="000000"/>
        </w:rPr>
        <w:t>8.1.6检测服务方案；（附件八）</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报价必须包括提供项目服务所需的一切人员工资、奖金、各种加班费、各种社会保险（基本养老保险、基本医疗保险、工伤保险、失业保险等）、食宿与交通、高温补偿费、机械、打井钻孔、设备、车辆、安全、管理费用、税费、利润等完成合同所需的一切本身和不可或缺的所有工作开支、政策性文件规定及合同包含的所有风险、责任等各项全部费用并承担一切风险责任。</w:t>
      </w:r>
    </w:p>
    <w:p>
      <w:pPr>
        <w:tabs>
          <w:tab w:val="left" w:pos="0"/>
        </w:tabs>
        <w:spacing w:line="360" w:lineRule="auto"/>
        <w:ind w:firstLine="477" w:firstLineChars="198"/>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8.2企业资信</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8.2.1提供有效的企业法人营业执照（复印件）</w:t>
      </w:r>
      <w:r>
        <w:rPr>
          <w:rFonts w:hint="eastAsia" w:ascii="仿宋_GB2312" w:hAnsi="宋体" w:eastAsia="仿宋_GB2312"/>
          <w:b/>
          <w:sz w:val="24"/>
          <w:szCs w:val="24"/>
        </w:rPr>
        <w:t>。</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8.2.3投标人的基本情况，实验室所在地等</w:t>
      </w:r>
      <w:r>
        <w:rPr>
          <w:rFonts w:hint="eastAsia" w:ascii="仿宋_GB2312" w:hAnsi="宋体" w:eastAsia="仿宋_GB2312"/>
          <w:sz w:val="24"/>
          <w:szCs w:val="24"/>
        </w:rPr>
        <w:t>。</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8.2.4相关的主要业绩证明，如投标人无法提供主要业绩的证明材料，视作投标无效</w:t>
      </w:r>
      <w:r>
        <w:rPr>
          <w:rFonts w:hint="eastAsia" w:ascii="仿宋_GB2312" w:hAnsi="宋体" w:eastAsia="仿宋_GB2312" w:cs="宋体"/>
          <w:color w:val="000000"/>
          <w:sz w:val="24"/>
          <w:szCs w:val="24"/>
        </w:rPr>
        <w:t>（附件六）</w:t>
      </w:r>
      <w:r>
        <w:rPr>
          <w:rFonts w:hint="eastAsia" w:ascii="仿宋_GB2312" w:hAnsi="宋体" w:eastAsia="仿宋_GB2312" w:cs="宋体"/>
          <w:color w:val="000000"/>
          <w:spacing w:val="4"/>
          <w:sz w:val="24"/>
          <w:szCs w:val="24"/>
        </w:rPr>
        <w:t>。</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8.2.5招标文件中涉及到的或投标人认为需要提供的其它说明和资料。投标人需要说明的其他内容以及优惠承诺（如果有）。</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9、投标文件的编制格式及说明（招标文件有特别说明的除外）</w:t>
      </w:r>
    </w:p>
    <w:p>
      <w:pPr>
        <w:pStyle w:val="6"/>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9.1 投标人提交的投标文件应当使用招标文件所提供的投标文件全部格式（表格可以按同样格式扩展）。未提供投标文件标准格式的，由投标人自行编写。</w:t>
      </w:r>
    </w:p>
    <w:p>
      <w:pPr>
        <w:pStyle w:val="6"/>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olor w:val="000000"/>
          <w:sz w:val="24"/>
          <w:szCs w:val="24"/>
        </w:rPr>
        <w:t xml:space="preserve">9.3 </w:t>
      </w:r>
      <w:r>
        <w:rPr>
          <w:rFonts w:hint="eastAsia" w:ascii="仿宋_GB2312" w:hAnsi="宋体" w:eastAsia="仿宋_GB2312" w:cs="宋体"/>
          <w:color w:val="000000"/>
          <w:sz w:val="24"/>
          <w:szCs w:val="24"/>
        </w:rPr>
        <w:t>投标文件应严格按照招标文件规定的顺序纵向装订成册，装订必须牢固可靠且不能轻易脱落。</w:t>
      </w:r>
    </w:p>
    <w:p>
      <w:pPr>
        <w:pStyle w:val="6"/>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10、商务报价</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color w:val="000000"/>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10.2其它费用处理</w:t>
      </w:r>
    </w:p>
    <w:p>
      <w:pPr>
        <w:pStyle w:val="16"/>
        <w:adjustRightInd w:val="0"/>
        <w:snapToGrid w:val="0"/>
        <w:spacing w:before="0"/>
        <w:ind w:firstLine="360" w:firstLineChars="150"/>
        <w:rPr>
          <w:rFonts w:ascii="仿宋_GB2312" w:eastAsia="仿宋_GB2312"/>
          <w:szCs w:val="24"/>
        </w:rPr>
      </w:pPr>
      <w:r>
        <w:rPr>
          <w:rFonts w:hint="eastAsia" w:ascii="仿宋_GB2312" w:hAnsi="宋体" w:eastAsia="仿宋_GB2312" w:cs="宋体"/>
          <w:color w:val="000000"/>
          <w:szCs w:val="24"/>
        </w:rPr>
        <w:t>招标文件未列明，而投标人认为必需的费用也需列入报价。</w:t>
      </w:r>
      <w:r>
        <w:rPr>
          <w:rFonts w:hint="eastAsia" w:ascii="仿宋_GB2312" w:hAnsi="宋体" w:eastAsia="仿宋_GB2312" w:cs="宋体"/>
          <w:szCs w:val="24"/>
        </w:rPr>
        <w:t>投标人在商务报价中应充分考虑所有可能发生的费用，否则招标人将视投标总价中已包括所有费用。</w:t>
      </w:r>
    </w:p>
    <w:p>
      <w:pPr>
        <w:pStyle w:val="16"/>
        <w:adjustRightInd w:val="0"/>
        <w:snapToGrid w:val="0"/>
        <w:spacing w:before="0"/>
        <w:ind w:firstLine="480"/>
        <w:rPr>
          <w:rFonts w:ascii="仿宋_GB2312" w:hAnsi="宋体" w:eastAsia="仿宋_GB2312" w:cs="宋体"/>
          <w:color w:val="000000"/>
          <w:szCs w:val="24"/>
        </w:rPr>
      </w:pPr>
      <w:r>
        <w:rPr>
          <w:rFonts w:hint="eastAsia" w:ascii="仿宋_GB2312" w:hAnsi="宋体" w:eastAsia="仿宋_GB2312" w:cs="宋体"/>
          <w:color w:val="000000"/>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11、投标文件的份数和签署</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11.5投标人所有投标文件一律不予退还。</w:t>
      </w:r>
    </w:p>
    <w:p>
      <w:pPr>
        <w:tabs>
          <w:tab w:val="left" w:pos="0"/>
        </w:tabs>
        <w:spacing w:line="360" w:lineRule="auto"/>
        <w:ind w:firstLine="468" w:firstLineChars="195"/>
        <w:rPr>
          <w:rFonts w:ascii="仿宋_GB2312" w:eastAsia="仿宋_GB2312"/>
          <w:color w:val="000000"/>
          <w:sz w:val="24"/>
          <w:szCs w:val="24"/>
        </w:rPr>
      </w:pPr>
    </w:p>
    <w:p>
      <w:pPr>
        <w:tabs>
          <w:tab w:val="left" w:pos="0"/>
        </w:tabs>
        <w:jc w:val="center"/>
        <w:rPr>
          <w:rFonts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12、投标文件的密封</w:t>
      </w:r>
    </w:p>
    <w:p>
      <w:pPr>
        <w:tabs>
          <w:tab w:val="left" w:pos="0"/>
        </w:tabs>
        <w:spacing w:line="360" w:lineRule="auto"/>
        <w:ind w:firstLine="468" w:firstLineChars="195"/>
        <w:rPr>
          <w:rFonts w:ascii="仿宋_GB2312" w:eastAsia="仿宋_GB2312"/>
          <w:bCs/>
          <w:color w:val="000000"/>
          <w:sz w:val="24"/>
          <w:szCs w:val="24"/>
        </w:rPr>
      </w:pPr>
      <w:r>
        <w:rPr>
          <w:rFonts w:hint="eastAsia" w:ascii="仿宋_GB2312" w:eastAsia="仿宋_GB2312"/>
          <w:bCs/>
          <w:color w:val="000000"/>
          <w:sz w:val="24"/>
          <w:szCs w:val="24"/>
        </w:rPr>
        <w:t>12.1本项目投标文件须包装并密封盖章，</w:t>
      </w:r>
      <w:r>
        <w:rPr>
          <w:rFonts w:hint="eastAsia" w:ascii="仿宋_GB2312" w:eastAsia="仿宋_GB2312"/>
          <w:sz w:val="24"/>
          <w:szCs w:val="24"/>
        </w:rPr>
        <w:t>并在封皮上注明：项目名称、招标编号、投标人名称、全权代表姓名。</w:t>
      </w:r>
    </w:p>
    <w:p>
      <w:pPr>
        <w:tabs>
          <w:tab w:val="left" w:pos="0"/>
        </w:tabs>
        <w:spacing w:line="360" w:lineRule="auto"/>
        <w:ind w:firstLine="468" w:firstLineChars="195"/>
        <w:rPr>
          <w:rFonts w:ascii="仿宋_GB2312" w:eastAsia="仿宋_GB2312"/>
          <w:bCs/>
          <w:color w:val="000000"/>
          <w:sz w:val="24"/>
          <w:szCs w:val="24"/>
        </w:rPr>
      </w:pPr>
      <w:r>
        <w:rPr>
          <w:rFonts w:hint="eastAsia" w:ascii="仿宋_GB2312" w:eastAsia="仿宋_GB2312"/>
          <w:bCs/>
          <w:color w:val="000000"/>
          <w:sz w:val="24"/>
          <w:szCs w:val="24"/>
        </w:rPr>
        <w:t>12.2 如果投标人未按上述要求密封，视为无效投标</w:t>
      </w:r>
      <w:r>
        <w:rPr>
          <w:rFonts w:hint="eastAsia" w:ascii="仿宋_GB2312" w:hAnsi="宋体" w:eastAsia="仿宋_GB2312" w:cs="宋体"/>
          <w:color w:val="000000"/>
          <w:sz w:val="24"/>
          <w:szCs w:val="24"/>
        </w:rPr>
        <w:t>。</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13、投标文件的提交</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14、投标文件提交的截止时间</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15、迟交的投标文件</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15.1投标人在投标截止时间以后送达的投标文件将被拒绝接受。</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16、投标文件的补充、修改与撤销</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16.1投标人在投标截止时间以后，不可补充、修改、撤销已提交的投标文件。</w:t>
      </w:r>
    </w:p>
    <w:p>
      <w:pPr>
        <w:tabs>
          <w:tab w:val="left" w:pos="0"/>
        </w:tabs>
        <w:rPr>
          <w:rFonts w:ascii="仿宋_GB2312" w:hAnsi="仿宋_GB2312" w:eastAsia="仿宋_GB2312" w:cs="仿宋_GB2312"/>
          <w:b/>
          <w:bCs/>
          <w:szCs w:val="24"/>
        </w:rPr>
      </w:pPr>
    </w:p>
    <w:p>
      <w:pPr>
        <w:tabs>
          <w:tab w:val="left" w:pos="0"/>
        </w:tabs>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17、投标有效期</w:t>
      </w:r>
    </w:p>
    <w:p>
      <w:pPr>
        <w:tabs>
          <w:tab w:val="left" w:pos="0"/>
        </w:tabs>
        <w:spacing w:line="360" w:lineRule="auto"/>
        <w:rPr>
          <w:rFonts w:ascii="仿宋_GB2312" w:eastAsia="仿宋_GB2312"/>
          <w:color w:val="000000"/>
          <w:sz w:val="24"/>
          <w:szCs w:val="24"/>
        </w:rPr>
      </w:pPr>
      <w:r>
        <w:rPr>
          <w:rFonts w:hint="eastAsia" w:ascii="仿宋_GB2312" w:hAnsi="宋体" w:eastAsia="仿宋_GB2312" w:cs="宋体"/>
          <w:color w:val="000000"/>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w:t>
      </w:r>
      <w:r>
        <w:rPr>
          <w:rFonts w:hint="eastAsia" w:ascii="仿宋_GB2312" w:hAnsi="宋体" w:eastAsia="仿宋_GB2312" w:cs="宋体"/>
          <w:sz w:val="24"/>
          <w:szCs w:val="24"/>
        </w:rPr>
        <w:t>而退还</w:t>
      </w:r>
      <w:r>
        <w:rPr>
          <w:rFonts w:hint="eastAsia" w:ascii="仿宋_GB2312" w:hAnsi="宋体" w:eastAsia="仿宋_GB2312" w:cs="宋体"/>
          <w:color w:val="000000"/>
          <w:sz w:val="24"/>
          <w:szCs w:val="24"/>
        </w:rPr>
        <w:t>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szCs w:val="24"/>
        </w:rPr>
      </w:pPr>
    </w:p>
    <w:p>
      <w:pPr>
        <w:tabs>
          <w:tab w:val="left" w:pos="0"/>
        </w:tabs>
        <w:ind w:firstLine="3081" w:firstLineChars="1096"/>
        <w:rPr>
          <w:rFonts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18.2.2投标保证金指定账户：</w:t>
      </w:r>
    </w:p>
    <w:p>
      <w:pPr>
        <w:spacing w:line="360" w:lineRule="auto"/>
        <w:ind w:left="514"/>
        <w:rPr>
          <w:rFonts w:ascii="仿宋_GB2312" w:hAnsi="宋体" w:eastAsia="仿宋_GB2312"/>
          <w:sz w:val="24"/>
          <w:szCs w:val="24"/>
        </w:rPr>
      </w:pPr>
      <w:r>
        <w:rPr>
          <w:rFonts w:hint="eastAsia" w:ascii="仿宋_GB2312" w:hAnsi="宋体" w:eastAsia="仿宋_GB2312"/>
          <w:sz w:val="24"/>
          <w:szCs w:val="24"/>
        </w:rPr>
        <w:t>户  名：杭州临江环境能源有限公司</w:t>
      </w:r>
      <w:r>
        <w:rPr>
          <w:rFonts w:hint="eastAsia" w:ascii="仿宋_GB2312" w:hAnsi="宋体" w:eastAsia="仿宋_GB2312"/>
          <w:sz w:val="24"/>
          <w:szCs w:val="24"/>
        </w:rPr>
        <w:br w:type="textWrapping"/>
      </w:r>
      <w:r>
        <w:rPr>
          <w:rFonts w:hint="eastAsia" w:ascii="仿宋_GB2312" w:hAnsi="宋体" w:eastAsia="仿宋_GB2312"/>
          <w:sz w:val="24"/>
          <w:szCs w:val="24"/>
        </w:rPr>
        <w:t>开户银行：招商银行杭州分行滨江支行</w:t>
      </w:r>
      <w:r>
        <w:rPr>
          <w:rFonts w:hint="eastAsia" w:ascii="仿宋_GB2312" w:hAnsi="宋体" w:eastAsia="仿宋_GB2312"/>
          <w:sz w:val="24"/>
          <w:szCs w:val="24"/>
        </w:rPr>
        <w:br w:type="textWrapping"/>
      </w:r>
      <w:r>
        <w:rPr>
          <w:rFonts w:hint="eastAsia" w:ascii="仿宋_GB2312" w:hAnsi="宋体" w:eastAsia="仿宋_GB2312"/>
          <w:sz w:val="24"/>
          <w:szCs w:val="24"/>
        </w:rPr>
        <w:t>账  号：571911871110866</w:t>
      </w:r>
    </w:p>
    <w:p>
      <w:pPr>
        <w:spacing w:line="360" w:lineRule="auto"/>
        <w:ind w:right="6"/>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19、投标保证金的退还</w:t>
      </w:r>
    </w:p>
    <w:p>
      <w:pPr>
        <w:snapToGrid w:val="0"/>
        <w:spacing w:line="360" w:lineRule="auto"/>
        <w:ind w:right="6" w:firstLine="480" w:firstLineChars="200"/>
        <w:rPr>
          <w:rFonts w:ascii="仿宋_GB2312" w:hAnsi="宋体" w:eastAsia="仿宋_GB2312"/>
          <w:sz w:val="24"/>
          <w:szCs w:val="24"/>
        </w:rPr>
      </w:pPr>
      <w:r>
        <w:rPr>
          <w:rFonts w:hint="eastAsia" w:ascii="仿宋_GB2312" w:hAnsi="宋体" w:eastAsia="仿宋_GB2312" w:cs="宋体"/>
          <w:color w:val="000000"/>
          <w:sz w:val="24"/>
          <w:szCs w:val="24"/>
        </w:rPr>
        <w:t>19.1</w:t>
      </w:r>
      <w:r>
        <w:rPr>
          <w:rFonts w:hint="eastAsia" w:ascii="仿宋_GB2312" w:hAnsi="仿宋" w:eastAsia="仿宋_GB2312"/>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sz w:val="24"/>
          <w:szCs w:val="24"/>
        </w:rPr>
        <w:br w:type="textWrapping"/>
      </w:r>
      <w:r>
        <w:rPr>
          <w:rFonts w:hint="eastAsia" w:ascii="仿宋_GB2312" w:hAnsi="宋体" w:eastAsia="仿宋_GB2312" w:cs="宋体"/>
          <w:b/>
          <w:bCs/>
          <w:color w:val="000000"/>
          <w:spacing w:val="4"/>
          <w:sz w:val="24"/>
          <w:szCs w:val="24"/>
        </w:rPr>
        <w:t>20、</w:t>
      </w:r>
      <w:r>
        <w:rPr>
          <w:rFonts w:hint="eastAsia" w:ascii="仿宋_GB2312" w:hAnsi="宋体" w:eastAsia="仿宋_GB2312" w:cs="宋体"/>
          <w:b/>
          <w:bCs/>
          <w:spacing w:val="4"/>
          <w:sz w:val="24"/>
          <w:szCs w:val="24"/>
        </w:rPr>
        <w:t>投标人有以下情形之一的，投标保证金将不予退还：</w:t>
      </w:r>
    </w:p>
    <w:p>
      <w:pPr>
        <w:spacing w:line="360" w:lineRule="auto"/>
        <w:ind w:right="3" w:firstLine="496" w:firstLineChars="200"/>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20.1</w:t>
      </w:r>
      <w:r>
        <w:rPr>
          <w:rFonts w:hint="eastAsia" w:ascii="仿宋_GB2312" w:hAnsi="仿宋" w:eastAsia="仿宋_GB2312"/>
          <w:sz w:val="24"/>
          <w:szCs w:val="24"/>
        </w:rPr>
        <w:t>投标人在投标截止后撤销投标文件的</w:t>
      </w:r>
      <w:r>
        <w:rPr>
          <w:rFonts w:hint="eastAsia" w:ascii="仿宋_GB2312" w:hAnsi="宋体" w:eastAsia="仿宋_GB2312" w:cs="宋体"/>
          <w:color w:val="000000"/>
          <w:spacing w:val="4"/>
          <w:sz w:val="24"/>
          <w:szCs w:val="24"/>
        </w:rPr>
        <w:t>；</w:t>
      </w:r>
    </w:p>
    <w:p>
      <w:pPr>
        <w:spacing w:line="360" w:lineRule="auto"/>
        <w:ind w:right="3" w:firstLine="496" w:firstLineChars="200"/>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color w:val="000000"/>
          <w:spacing w:val="4"/>
          <w:sz w:val="24"/>
          <w:szCs w:val="24"/>
        </w:rPr>
        <w:t>；</w:t>
      </w:r>
    </w:p>
    <w:p>
      <w:pPr>
        <w:spacing w:line="360" w:lineRule="auto"/>
        <w:ind w:firstLine="496" w:firstLineChars="200"/>
        <w:rPr>
          <w:rFonts w:ascii="仿宋_GB2312" w:hAnsi="仿宋" w:eastAsia="仿宋_GB2312"/>
          <w:sz w:val="24"/>
          <w:szCs w:val="24"/>
        </w:rPr>
      </w:pPr>
      <w:r>
        <w:rPr>
          <w:rFonts w:hint="eastAsia" w:ascii="仿宋_GB2312" w:hAnsi="宋体" w:eastAsia="仿宋_GB2312" w:cs="宋体"/>
          <w:color w:val="000000"/>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ascii="仿宋_GB2312" w:hAnsi="仿宋_GB2312" w:eastAsia="仿宋_GB2312" w:cs="仿宋_GB2312"/>
          <w:spacing w:val="4"/>
          <w:sz w:val="24"/>
          <w:szCs w:val="24"/>
        </w:rPr>
      </w:pPr>
    </w:p>
    <w:p>
      <w:pPr>
        <w:jc w:val="center"/>
        <w:rPr>
          <w:rFonts w:ascii="仿宋_GB2312" w:eastAsia="仿宋_GB2312"/>
          <w:b/>
          <w:bCs/>
          <w:color w:val="000000"/>
          <w:spacing w:val="4"/>
          <w:sz w:val="30"/>
          <w:szCs w:val="30"/>
        </w:rPr>
      </w:pPr>
      <w:r>
        <w:rPr>
          <w:rFonts w:hint="eastAsia" w:ascii="仿宋_GB2312" w:hAnsi="宋体" w:eastAsia="仿宋_GB2312" w:cs="宋体"/>
          <w:b/>
          <w:bCs/>
          <w:color w:val="000000"/>
          <w:spacing w:val="4"/>
          <w:sz w:val="30"/>
          <w:szCs w:val="30"/>
        </w:rPr>
        <w:t>（</w:t>
      </w:r>
      <w:r>
        <w:rPr>
          <w:rFonts w:hint="eastAsia" w:ascii="仿宋_GB2312" w:hAnsi="宋体" w:eastAsia="仿宋_GB2312" w:cs="宋体"/>
          <w:b/>
          <w:bCs/>
          <w:color w:val="000000"/>
          <w:sz w:val="30"/>
          <w:szCs w:val="30"/>
        </w:rPr>
        <w:t>七</w:t>
      </w:r>
      <w:r>
        <w:rPr>
          <w:rFonts w:hint="eastAsia" w:ascii="仿宋_GB2312" w:hAnsi="宋体" w:eastAsia="仿宋_GB2312" w:cs="宋体"/>
          <w:b/>
          <w:bCs/>
          <w:color w:val="000000"/>
          <w:spacing w:val="4"/>
          <w:sz w:val="30"/>
          <w:szCs w:val="30"/>
        </w:rPr>
        <w:t>）无效标条款</w:t>
      </w:r>
    </w:p>
    <w:p>
      <w:pPr>
        <w:snapToGrid w:val="0"/>
        <w:spacing w:line="360" w:lineRule="auto"/>
        <w:rPr>
          <w:rFonts w:ascii="仿宋_GB2312" w:eastAsia="仿宋_GB2312"/>
          <w:b/>
          <w:bCs/>
          <w:color w:val="000000"/>
          <w:sz w:val="24"/>
          <w:szCs w:val="24"/>
        </w:rPr>
      </w:pPr>
      <w:r>
        <w:rPr>
          <w:rFonts w:hint="eastAsia" w:ascii="仿宋_GB2312" w:hAnsi="宋体" w:eastAsia="仿宋_GB2312" w:cs="宋体"/>
          <w:b/>
          <w:bCs/>
          <w:color w:val="000000"/>
          <w:spacing w:val="4"/>
          <w:sz w:val="24"/>
          <w:szCs w:val="24"/>
        </w:rPr>
        <w:t>21、</w:t>
      </w:r>
      <w:r>
        <w:rPr>
          <w:rFonts w:hint="eastAsia" w:ascii="仿宋_GB2312" w:hAnsi="宋体" w:eastAsia="仿宋_GB2312" w:cs="宋体"/>
          <w:b/>
          <w:bCs/>
          <w:color w:val="000000"/>
          <w:sz w:val="24"/>
          <w:szCs w:val="24"/>
        </w:rPr>
        <w:t>有下列情况之一的，对投标文件作无效标处理：</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21.1投标文件未按规定密封的；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 xml:space="preserve">21.2未缴纳投标保证金的； </w:t>
      </w:r>
    </w:p>
    <w:p>
      <w:pPr>
        <w:snapToGrid w:val="0"/>
        <w:spacing w:line="360" w:lineRule="auto"/>
        <w:ind w:firstLine="417"/>
        <w:rPr>
          <w:rFonts w:ascii="仿宋_GB2312" w:eastAsia="仿宋_GB2312"/>
          <w:color w:val="000000"/>
          <w:sz w:val="24"/>
          <w:szCs w:val="24"/>
        </w:rPr>
      </w:pPr>
      <w:r>
        <w:rPr>
          <w:rFonts w:hint="eastAsia" w:ascii="仿宋_GB2312" w:hAnsi="宋体" w:eastAsia="仿宋_GB2312" w:cs="宋体"/>
          <w:color w:val="000000"/>
          <w:spacing w:val="4"/>
          <w:sz w:val="24"/>
          <w:szCs w:val="24"/>
        </w:rPr>
        <w:t>21.3未按招标文件要求报价的；</w:t>
      </w:r>
    </w:p>
    <w:p>
      <w:pPr>
        <w:snapToGrid w:val="0"/>
        <w:spacing w:line="360" w:lineRule="auto"/>
        <w:ind w:firstLine="417"/>
        <w:rPr>
          <w:rFonts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3" w:firstLine="417"/>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21.5</w:t>
      </w:r>
      <w:r>
        <w:rPr>
          <w:rFonts w:hint="eastAsia" w:ascii="仿宋_GB2312" w:hAnsi="宋体" w:eastAsia="仿宋_GB2312" w:cs="宋体"/>
          <w:color w:val="000000"/>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21.8投标文件中有重大偏离的；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21.10扰乱开标会现场秩序，影响正常开标的；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21.12提供虚假信息谋取中标的；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21.14未按招标文件要求制作投标文件的；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21.15根据招标文件要求，评标委员会认为应当作无效投标处理的其他情况；</w:t>
      </w:r>
    </w:p>
    <w:p>
      <w:pPr>
        <w:pStyle w:val="2"/>
        <w:spacing w:before="0" w:line="360" w:lineRule="auto"/>
        <w:ind w:firstLine="419" w:firstLineChars="169"/>
        <w:rPr>
          <w:rFonts w:ascii="仿宋_GB2312" w:hAnsi="宋体" w:eastAsia="仿宋_GB2312" w:cs="宋体"/>
          <w:b w:val="0"/>
          <w:bCs w:val="0"/>
          <w:caps w:val="0"/>
          <w:color w:val="000000"/>
          <w:spacing w:val="4"/>
        </w:rPr>
      </w:pPr>
      <w:r>
        <w:rPr>
          <w:rFonts w:hint="eastAsia" w:ascii="仿宋_GB2312" w:hAnsi="宋体" w:eastAsia="仿宋_GB2312" w:cs="宋体"/>
          <w:b w:val="0"/>
          <w:bCs w:val="0"/>
          <w:caps w:val="0"/>
          <w:color w:val="000000"/>
          <w:spacing w:val="4"/>
        </w:rPr>
        <w:t>21.16法律、法规、规章及规范性文件规定其他应否决投标的情形。</w:t>
      </w:r>
    </w:p>
    <w:p>
      <w:pPr>
        <w:snapToGrid w:val="0"/>
        <w:spacing w:line="360" w:lineRule="auto"/>
        <w:jc w:val="center"/>
        <w:rPr>
          <w:rFonts w:ascii="仿宋_GB2312" w:hAnsi="仿宋_GB2312" w:eastAsia="仿宋_GB2312" w:cs="仿宋_GB2312"/>
          <w:b/>
          <w:bCs/>
          <w:sz w:val="24"/>
          <w:szCs w:val="24"/>
        </w:rPr>
      </w:pPr>
    </w:p>
    <w:p>
      <w:pPr>
        <w:snapToGrid w:val="0"/>
        <w:jc w:val="center"/>
        <w:rPr>
          <w:rFonts w:ascii="仿宋_GB2312" w:eastAsia="仿宋_GB2312"/>
          <w:color w:val="000000"/>
          <w:spacing w:val="4"/>
          <w:sz w:val="30"/>
          <w:szCs w:val="30"/>
        </w:rPr>
      </w:pP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八</w:t>
      </w: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开标</w:t>
      </w:r>
    </w:p>
    <w:p>
      <w:pPr>
        <w:spacing w:line="360" w:lineRule="auto"/>
        <w:ind w:right="3"/>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22、开标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开标由招标人工作人员主持、唱读、记录。</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22.1 开标时间和地点：详见投标须知前附表；</w:t>
      </w:r>
    </w:p>
    <w:p>
      <w:pPr>
        <w:spacing w:line="360" w:lineRule="auto"/>
        <w:ind w:firstLine="482" w:firstLineChars="200"/>
        <w:rPr>
          <w:rFonts w:ascii="仿宋_GB2312" w:hAnsi="宋体" w:eastAsia="仿宋_GB2312" w:cs="宋体"/>
          <w:color w:val="000000"/>
          <w:sz w:val="24"/>
          <w:szCs w:val="24"/>
        </w:rPr>
      </w:pPr>
      <w:r>
        <w:rPr>
          <w:rFonts w:hint="eastAsia" w:ascii="仿宋_GB2312" w:hAnsi="宋体" w:eastAsia="仿宋_GB2312" w:cs="宋体"/>
          <w:b/>
          <w:color w:val="000000"/>
          <w:sz w:val="24"/>
          <w:szCs w:val="24"/>
        </w:rPr>
        <w:t>22.2 投标人须派全权代表参加。开标前，投标人全权代表须出示《参与杭州临江环境能源有限公司物资招投标人员健康承诺书》及本人身份证，非企业法定代表人的投标人全权代表还需出示法定代表人授权书，并经招标人工作人员验证确认。</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22.5重新招标和不再招标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22.5.1 重新招标 </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22.5.2 不再招标 </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重新招标后投标人仍少于3个或者经评审有效标不足3家，经核准后可不再进行招标。</w:t>
      </w:r>
    </w:p>
    <w:p>
      <w:pPr>
        <w:ind w:right="3"/>
        <w:jc w:val="center"/>
        <w:rPr>
          <w:rFonts w:ascii="仿宋_GB2312" w:eastAsia="仿宋_GB2312"/>
          <w:b/>
          <w:bCs/>
          <w:color w:val="000000"/>
          <w:spacing w:val="4"/>
          <w:sz w:val="30"/>
          <w:szCs w:val="30"/>
        </w:rPr>
      </w:pPr>
      <w:r>
        <w:rPr>
          <w:rFonts w:hint="eastAsia" w:ascii="仿宋_GB2312" w:hAnsi="宋体" w:eastAsia="仿宋_GB2312" w:cs="宋体"/>
          <w:b/>
          <w:bCs/>
          <w:color w:val="000000"/>
          <w:sz w:val="30"/>
          <w:szCs w:val="30"/>
          <w:lang w:val="en-GB"/>
        </w:rPr>
        <w:t>（九）</w:t>
      </w:r>
      <w:r>
        <w:rPr>
          <w:rFonts w:hint="eastAsia" w:ascii="仿宋_GB2312" w:hAnsi="宋体" w:eastAsia="仿宋_GB2312" w:cs="宋体"/>
          <w:b/>
          <w:bCs/>
          <w:color w:val="000000"/>
          <w:spacing w:val="4"/>
          <w:sz w:val="30"/>
          <w:szCs w:val="30"/>
        </w:rPr>
        <w:t>评审</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23、评标组织</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24、评审过程的保密</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25、投标文件的澄清</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000000"/>
          <w:sz w:val="24"/>
          <w:szCs w:val="24"/>
        </w:rPr>
      </w:pPr>
      <w:bookmarkStart w:id="34" w:name="_Toc473012594"/>
      <w:bookmarkStart w:id="35" w:name="_Toc509229845"/>
      <w:bookmarkStart w:id="36" w:name="_Toc509228382"/>
      <w:bookmarkStart w:id="37" w:name="_Toc37815040"/>
      <w:bookmarkStart w:id="38" w:name="_Toc37912038"/>
      <w:bookmarkStart w:id="39" w:name="_Toc37911758"/>
      <w:bookmarkStart w:id="40" w:name="_Toc37911648"/>
      <w:r>
        <w:rPr>
          <w:rFonts w:hint="eastAsia" w:ascii="仿宋_GB2312" w:hAnsi="宋体" w:eastAsia="仿宋_GB2312" w:cs="宋体"/>
          <w:b/>
          <w:bCs/>
          <w:color w:val="000000"/>
          <w:sz w:val="24"/>
          <w:szCs w:val="24"/>
        </w:rPr>
        <w:t>26. 评标原则</w:t>
      </w:r>
    </w:p>
    <w:p>
      <w:pPr>
        <w:pStyle w:val="6"/>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26.1 本项目采用经审核通过后最低价中标法推荐中标人（</w:t>
      </w:r>
      <w:r>
        <w:rPr>
          <w:rFonts w:hint="eastAsia" w:ascii="仿宋_GB2312" w:hAnsi="仿宋" w:eastAsia="仿宋_GB2312"/>
          <w:b/>
          <w:bCs/>
          <w:sz w:val="24"/>
          <w:szCs w:val="24"/>
        </w:rPr>
        <w:t>若出现不同税率的报价，以除税金额最低为准</w:t>
      </w:r>
      <w:r>
        <w:rPr>
          <w:rFonts w:hint="eastAsia" w:ascii="仿宋_GB2312" w:hAnsi="仿宋" w:eastAsia="仿宋_GB2312"/>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w:t>
      </w:r>
      <w:r>
        <w:rPr>
          <w:rFonts w:hint="eastAsia" w:ascii="仿宋_GB2312" w:hAnsi="宋体" w:eastAsia="仿宋_GB2312" w:cs="Arial"/>
          <w:b w:val="0"/>
          <w:bCs/>
          <w:color w:val="auto"/>
          <w:sz w:val="24"/>
          <w:szCs w:val="24"/>
        </w:rPr>
        <w:t>服务</w:t>
      </w:r>
      <w:r>
        <w:rPr>
          <w:rFonts w:hint="eastAsia" w:ascii="仿宋_GB2312" w:hAnsi="宋体" w:eastAsia="仿宋_GB2312" w:cs="Arial"/>
          <w:sz w:val="24"/>
          <w:szCs w:val="24"/>
        </w:rPr>
        <w:t>价格明显低于市场价，评标委员会认定为重大偏离，不再进入后续评审。</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27. 评标程序</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000000"/>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28. 评审结果公示</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29. 质疑</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ascii="仿宋_GB2312" w:hAnsi="仿宋" w:eastAsia="仿宋_GB2312" w:cs="仿宋_GB2312"/>
          <w:sz w:val="24"/>
          <w:szCs w:val="24"/>
          <w:lang w:val="zh-CN"/>
        </w:rPr>
      </w:pPr>
    </w:p>
    <w:p>
      <w:pPr>
        <w:ind w:right="3"/>
        <w:jc w:val="center"/>
        <w:rPr>
          <w:rFonts w:ascii="仿宋_GB2312" w:hAnsi="宋体" w:eastAsia="仿宋_GB2312" w:cs="宋体"/>
          <w:b/>
          <w:bCs/>
          <w:color w:val="000000"/>
          <w:sz w:val="30"/>
          <w:szCs w:val="30"/>
          <w:lang w:val="en-GB"/>
        </w:rPr>
      </w:pPr>
      <w:r>
        <w:rPr>
          <w:rFonts w:hint="eastAsia" w:ascii="仿宋_GB2312" w:hAnsi="宋体" w:eastAsia="仿宋_GB2312" w:cs="宋体"/>
          <w:b/>
          <w:bCs/>
          <w:color w:val="000000"/>
          <w:sz w:val="30"/>
          <w:szCs w:val="30"/>
          <w:lang w:val="en-GB"/>
        </w:rPr>
        <w:t>（十）合同签订及其他</w:t>
      </w:r>
    </w:p>
    <w:p>
      <w:pPr>
        <w:tabs>
          <w:tab w:val="left" w:pos="0"/>
        </w:tabs>
        <w:spacing w:line="360" w:lineRule="auto"/>
        <w:rPr>
          <w:rFonts w:ascii="仿宋_GB2312" w:hAnsi="宋体" w:eastAsia="仿宋_GB2312"/>
          <w:b/>
          <w:color w:val="000000"/>
          <w:sz w:val="24"/>
        </w:rPr>
      </w:pPr>
      <w:r>
        <w:rPr>
          <w:rFonts w:hint="eastAsia" w:ascii="仿宋_GB2312" w:hAnsi="宋体" w:eastAsia="仿宋_GB2312"/>
          <w:b/>
          <w:color w:val="000000"/>
          <w:sz w:val="24"/>
        </w:rPr>
        <w:t>31．合同的签订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31.1中标人确定后，招标人和中标人签订</w:t>
      </w:r>
      <w:r>
        <w:rPr>
          <w:rFonts w:hint="eastAsia" w:ascii="仿宋_GB2312" w:hAnsi="宋体" w:eastAsia="仿宋_GB2312"/>
          <w:b w:val="0"/>
          <w:bCs/>
          <w:color w:val="auto"/>
          <w:sz w:val="24"/>
        </w:rPr>
        <w:t>委托</w:t>
      </w:r>
      <w:r>
        <w:rPr>
          <w:rFonts w:hint="eastAsia" w:ascii="仿宋_GB2312" w:hAnsi="宋体" w:eastAsia="仿宋_GB2312"/>
          <w:sz w:val="24"/>
        </w:rPr>
        <w:t>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000000"/>
          <w:sz w:val="24"/>
        </w:rPr>
      </w:pPr>
      <w:r>
        <w:rPr>
          <w:rFonts w:hint="eastAsia" w:ascii="仿宋_GB2312" w:eastAsia="仿宋_GB2312"/>
          <w:b/>
          <w:color w:val="000000"/>
          <w:sz w:val="24"/>
        </w:rPr>
        <w:t>32.</w:t>
      </w:r>
      <w:r>
        <w:rPr>
          <w:rFonts w:hint="eastAsia" w:ascii="仿宋_GB2312" w:eastAsia="仿宋_GB2312"/>
          <w:color w:val="000000"/>
        </w:rPr>
        <w:t xml:space="preserve"> </w:t>
      </w:r>
      <w:r>
        <w:rPr>
          <w:rFonts w:hint="eastAsia" w:ascii="仿宋_GB2312" w:eastAsia="仿宋_GB2312"/>
          <w:b/>
          <w:color w:val="000000"/>
          <w:sz w:val="24"/>
        </w:rPr>
        <w:t>解释权</w:t>
      </w:r>
    </w:p>
    <w:p>
      <w:pPr>
        <w:spacing w:line="360" w:lineRule="auto"/>
        <w:ind w:firstLine="420"/>
        <w:rPr>
          <w:rFonts w:ascii="仿宋_GB2312" w:hAnsi="仿宋" w:eastAsia="仿宋_GB2312" w:cs="仿宋_GB2312"/>
          <w:sz w:val="24"/>
          <w:szCs w:val="24"/>
          <w:lang w:val="zh-CN"/>
        </w:rPr>
      </w:pPr>
      <w:r>
        <w:rPr>
          <w:rFonts w:hint="eastAsia" w:ascii="仿宋_GB2312" w:eastAsia="仿宋_GB2312"/>
          <w:color w:val="000000"/>
          <w:sz w:val="24"/>
        </w:rPr>
        <w:t>32.1凡涉及本次招标文件的解释权均属于杭州临江环境能源有限公司。</w:t>
      </w:r>
    </w:p>
    <w:p>
      <w:pPr>
        <w:pStyle w:val="8"/>
        <w:spacing w:line="360" w:lineRule="auto"/>
        <w:rPr>
          <w:rStyle w:val="13"/>
          <w:rFonts w:ascii="仿宋_GB2312" w:eastAsia="仿宋_GB2312"/>
          <w:b/>
          <w:spacing w:val="0"/>
          <w:sz w:val="44"/>
          <w:lang w:val="en-GB"/>
        </w:rPr>
      </w:pPr>
      <w:r>
        <w:rPr>
          <w:rFonts w:ascii="仿宋_GB2312" w:hAnsi="仿宋" w:eastAsia="仿宋_GB2312" w:cs="仿宋_GB2312"/>
          <w:sz w:val="24"/>
          <w:szCs w:val="24"/>
          <w:lang w:val="zh-CN"/>
        </w:rPr>
        <w:br w:type="page"/>
      </w:r>
      <w:r>
        <w:rPr>
          <w:rStyle w:val="13"/>
          <w:rFonts w:hint="eastAsia" w:ascii="仿宋_GB2312" w:eastAsia="仿宋_GB2312"/>
          <w:b/>
          <w:spacing w:val="0"/>
          <w:sz w:val="44"/>
          <w:lang w:val="en-GB"/>
        </w:rPr>
        <w:t>第三</w:t>
      </w:r>
      <w:bookmarkEnd w:id="34"/>
      <w:r>
        <w:rPr>
          <w:rStyle w:val="13"/>
          <w:rFonts w:hint="eastAsia" w:ascii="仿宋_GB2312" w:eastAsia="仿宋_GB2312"/>
          <w:b/>
          <w:spacing w:val="0"/>
          <w:sz w:val="44"/>
          <w:lang w:val="en-GB"/>
        </w:rPr>
        <w:t xml:space="preserve">部分  </w:t>
      </w:r>
      <w:bookmarkEnd w:id="35"/>
      <w:bookmarkEnd w:id="36"/>
      <w:r>
        <w:rPr>
          <w:rStyle w:val="13"/>
          <w:rFonts w:hint="eastAsia" w:ascii="仿宋_GB2312" w:eastAsia="仿宋_GB2312"/>
          <w:b/>
          <w:spacing w:val="0"/>
          <w:sz w:val="44"/>
          <w:lang w:val="en-GB"/>
        </w:rPr>
        <w:t>招标内容及项目要求</w:t>
      </w:r>
    </w:p>
    <w:bookmarkEnd w:id="37"/>
    <w:bookmarkEnd w:id="38"/>
    <w:bookmarkEnd w:id="39"/>
    <w:bookmarkEnd w:id="40"/>
    <w:p>
      <w:pPr>
        <w:numPr>
          <w:ilvl w:val="0"/>
          <w:numId w:val="5"/>
        </w:numPr>
        <w:spacing w:line="360" w:lineRule="auto"/>
        <w:rPr>
          <w:rFonts w:ascii="仿宋_GB2312" w:hAnsi="宋体" w:eastAsia="仿宋_GB2312"/>
          <w:sz w:val="24"/>
        </w:rPr>
      </w:pPr>
      <w:r>
        <w:rPr>
          <w:rFonts w:ascii="仿宋_GB2312" w:hAnsi="宋体" w:eastAsia="仿宋_GB2312"/>
          <w:sz w:val="24"/>
        </w:rPr>
        <w:t>招标内容</w:t>
      </w:r>
      <w:r>
        <w:rPr>
          <w:rFonts w:hint="eastAsia" w:ascii="仿宋_GB2312" w:hAnsi="宋体" w:eastAsia="仿宋_GB2312"/>
          <w:sz w:val="24"/>
        </w:rPr>
        <w:t>。</w:t>
      </w:r>
    </w:p>
    <w:tbl>
      <w:tblPr>
        <w:tblStyle w:val="9"/>
        <w:tblW w:w="9030" w:type="dxa"/>
        <w:tblInd w:w="0" w:type="dxa"/>
        <w:tblLayout w:type="autofit"/>
        <w:tblCellMar>
          <w:top w:w="0" w:type="dxa"/>
          <w:left w:w="0" w:type="dxa"/>
          <w:bottom w:w="0" w:type="dxa"/>
          <w:right w:w="0" w:type="dxa"/>
        </w:tblCellMar>
      </w:tblPr>
      <w:tblGrid>
        <w:gridCol w:w="893"/>
        <w:gridCol w:w="1671"/>
        <w:gridCol w:w="1467"/>
        <w:gridCol w:w="2155"/>
        <w:gridCol w:w="1213"/>
        <w:gridCol w:w="1631"/>
      </w:tblGrid>
      <w:tr>
        <w:tblPrEx>
          <w:tblCellMar>
            <w:top w:w="0" w:type="dxa"/>
            <w:left w:w="0" w:type="dxa"/>
            <w:bottom w:w="0" w:type="dxa"/>
            <w:right w:w="0" w:type="dxa"/>
          </w:tblCellMar>
        </w:tblPrEx>
        <w:trPr>
          <w:trHeight w:val="66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大类</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监测点位</w:t>
            </w:r>
          </w:p>
        </w:tc>
        <w:tc>
          <w:tcPr>
            <w:tcW w:w="1467"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备注</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监测指标</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监测</w:t>
            </w:r>
            <w:r>
              <w:rPr>
                <w:rFonts w:hint="eastAsia" w:ascii="宋体" w:hAnsi="宋体" w:cs="宋体"/>
                <w:b w:val="0"/>
                <w:bCs/>
                <w:color w:val="auto"/>
                <w:kern w:val="0"/>
                <w:sz w:val="20"/>
              </w:rPr>
              <w:t>周期</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监测</w:t>
            </w:r>
            <w:r>
              <w:rPr>
                <w:rFonts w:hint="eastAsia" w:ascii="宋体" w:hAnsi="宋体" w:cs="宋体"/>
                <w:b w:val="0"/>
                <w:bCs/>
                <w:color w:val="auto"/>
                <w:kern w:val="0"/>
                <w:sz w:val="20"/>
              </w:rPr>
              <w:t>频次</w:t>
            </w:r>
          </w:p>
        </w:tc>
      </w:tr>
      <w:tr>
        <w:tblPrEx>
          <w:tblCellMar>
            <w:top w:w="0" w:type="dxa"/>
            <w:left w:w="0" w:type="dxa"/>
            <w:bottom w:w="0" w:type="dxa"/>
            <w:right w:w="0" w:type="dxa"/>
          </w:tblCellMar>
        </w:tblPrEx>
        <w:trPr>
          <w:trHeight w:val="495" w:hRule="atLeast"/>
        </w:trPr>
        <w:tc>
          <w:tcPr>
            <w:tcW w:w="893" w:type="dxa"/>
            <w:vMerge w:val="restart"/>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废水排放监测</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废水总排口</w:t>
            </w:r>
            <w:r>
              <w:rPr>
                <w:rStyle w:val="20"/>
                <w:color w:val="auto"/>
              </w:rPr>
              <w:t>1</w:t>
            </w:r>
            <w:r>
              <w:rPr>
                <w:rStyle w:val="19"/>
                <w:rFonts w:hint="default"/>
                <w:color w:val="auto"/>
              </w:rPr>
              <w:t>：</w:t>
            </w:r>
            <w:r>
              <w:rPr>
                <w:rStyle w:val="20"/>
                <w:color w:val="auto"/>
              </w:rPr>
              <w:br w:type="textWrapping"/>
            </w:r>
            <w:r>
              <w:rPr>
                <w:rStyle w:val="19"/>
                <w:rFonts w:hint="default"/>
                <w:color w:val="auto"/>
              </w:rPr>
              <w:t>生产废水处理系统出口（物化、焚烧、生活废水）</w:t>
            </w:r>
          </w:p>
        </w:tc>
        <w:tc>
          <w:tcPr>
            <w:tcW w:w="0" w:type="auto"/>
            <w:vMerge w:val="restart"/>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sz w:val="20"/>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21"/>
                <w:rFonts w:hint="default"/>
                <w:color w:val="auto"/>
              </w:rPr>
              <w:t>流量、</w:t>
            </w:r>
            <w:r>
              <w:rPr>
                <w:rStyle w:val="22"/>
                <w:color w:val="auto"/>
              </w:rPr>
              <w:t>PH</w:t>
            </w:r>
            <w:r>
              <w:rPr>
                <w:rStyle w:val="21"/>
                <w:rFonts w:hint="default"/>
                <w:color w:val="auto"/>
              </w:rPr>
              <w:t>值、化学需氧量、氨氮</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监测1天每天2次</w:t>
            </w:r>
          </w:p>
        </w:tc>
      </w:tr>
      <w:tr>
        <w:tblPrEx>
          <w:tblCellMar>
            <w:top w:w="0" w:type="dxa"/>
            <w:left w:w="0" w:type="dxa"/>
            <w:bottom w:w="0" w:type="dxa"/>
            <w:right w:w="0" w:type="dxa"/>
          </w:tblCellMar>
        </w:tblPrEx>
        <w:trPr>
          <w:trHeight w:val="1280" w:hRule="atLeast"/>
        </w:trPr>
        <w:tc>
          <w:tcPr>
            <w:tcW w:w="893" w:type="dxa"/>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0" w:type="auto"/>
            <w:vMerge w:val="continue"/>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sz w:val="20"/>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粪大肠菌群数、氟化物、总余氯</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月</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920" w:hRule="atLeast"/>
        </w:trPr>
        <w:tc>
          <w:tcPr>
            <w:tcW w:w="893" w:type="dxa"/>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废水总排口</w:t>
            </w:r>
            <w:r>
              <w:rPr>
                <w:rStyle w:val="20"/>
                <w:color w:val="auto"/>
              </w:rPr>
              <w:t>2</w:t>
            </w:r>
            <w:r>
              <w:rPr>
                <w:rStyle w:val="19"/>
                <w:rFonts w:hint="default"/>
                <w:color w:val="auto"/>
              </w:rPr>
              <w:t>：</w:t>
            </w:r>
            <w:r>
              <w:rPr>
                <w:rStyle w:val="20"/>
                <w:color w:val="auto"/>
              </w:rPr>
              <w:br w:type="textWrapping"/>
            </w:r>
            <w:r>
              <w:rPr>
                <w:rStyle w:val="19"/>
                <w:rFonts w:hint="default"/>
                <w:color w:val="auto"/>
              </w:rPr>
              <w:t>渗滤液处理系统废水排放口</w:t>
            </w:r>
          </w:p>
        </w:tc>
        <w:tc>
          <w:tcPr>
            <w:tcW w:w="0" w:type="auto"/>
            <w:vMerge w:val="restart"/>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sz w:val="20"/>
              </w:rPr>
            </w:pP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0"/>
              </w:rPr>
            </w:pPr>
            <w:r>
              <w:rPr>
                <w:rStyle w:val="22"/>
                <w:color w:val="auto"/>
              </w:rPr>
              <w:t>BOD</w:t>
            </w:r>
            <w:r>
              <w:rPr>
                <w:rStyle w:val="23"/>
                <w:color w:val="auto"/>
              </w:rPr>
              <w:t>5</w:t>
            </w:r>
            <w:r>
              <w:rPr>
                <w:rStyle w:val="21"/>
                <w:rFonts w:hint="default"/>
                <w:color w:val="auto"/>
              </w:rPr>
              <w:t>、氰化物、总砷、总镉、总铬、总铍、六价铬、总铅、总汞、烷基汞、总砷、总镍、总锌、总银、总铜、苯并</w:t>
            </w:r>
            <w:r>
              <w:rPr>
                <w:rStyle w:val="22"/>
                <w:color w:val="auto"/>
              </w:rPr>
              <w:t>(a)</w:t>
            </w:r>
            <w:r>
              <w:rPr>
                <w:rStyle w:val="21"/>
                <w:rFonts w:hint="default"/>
                <w:color w:val="auto"/>
              </w:rPr>
              <w:t>芘、总锰、磷酸盐、硫化物、硫酸盐、氯化物、石油类</w:t>
            </w:r>
          </w:p>
        </w:tc>
        <w:tc>
          <w:tcPr>
            <w:tcW w:w="1213"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监测1天每天2次</w:t>
            </w:r>
          </w:p>
        </w:tc>
      </w:tr>
      <w:tr>
        <w:tblPrEx>
          <w:tblCellMar>
            <w:top w:w="0" w:type="dxa"/>
            <w:left w:w="0" w:type="dxa"/>
            <w:bottom w:w="0" w:type="dxa"/>
            <w:right w:w="0" w:type="dxa"/>
          </w:tblCellMar>
        </w:tblPrEx>
        <w:trPr>
          <w:trHeight w:val="1460" w:hRule="atLeast"/>
        </w:trPr>
        <w:tc>
          <w:tcPr>
            <w:tcW w:w="893" w:type="dxa"/>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0" w:type="auto"/>
            <w:vMerge w:val="continue"/>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sz w:val="20"/>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rPr>
            </w:pPr>
          </w:p>
        </w:tc>
        <w:tc>
          <w:tcPr>
            <w:tcW w:w="121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sz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620" w:hRule="atLeast"/>
        </w:trPr>
        <w:tc>
          <w:tcPr>
            <w:tcW w:w="893" w:type="dxa"/>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废水总排口</w:t>
            </w:r>
            <w:r>
              <w:rPr>
                <w:rStyle w:val="20"/>
                <w:color w:val="auto"/>
              </w:rPr>
              <w:t>3</w:t>
            </w:r>
            <w:r>
              <w:rPr>
                <w:rStyle w:val="19"/>
                <w:rFonts w:hint="default"/>
                <w:color w:val="auto"/>
              </w:rPr>
              <w:t>：</w:t>
            </w:r>
            <w:r>
              <w:rPr>
                <w:rStyle w:val="20"/>
                <w:color w:val="auto"/>
              </w:rPr>
              <w:br w:type="textWrapping"/>
            </w:r>
            <w:r>
              <w:rPr>
                <w:rStyle w:val="19"/>
                <w:rFonts w:hint="default"/>
                <w:color w:val="auto"/>
              </w:rPr>
              <w:t>医疗废物配套清洗废水处理设施排放口</w:t>
            </w: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sz w:val="20"/>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流量、</w:t>
            </w:r>
            <w:r>
              <w:rPr>
                <w:rStyle w:val="20"/>
                <w:color w:val="auto"/>
              </w:rPr>
              <w:t>pH</w:t>
            </w:r>
            <w:r>
              <w:rPr>
                <w:rStyle w:val="19"/>
                <w:rFonts w:hint="default"/>
                <w:color w:val="auto"/>
              </w:rPr>
              <w:t>、</w:t>
            </w:r>
            <w:r>
              <w:rPr>
                <w:rStyle w:val="20"/>
                <w:color w:val="auto"/>
              </w:rPr>
              <w:t>CODcr</w:t>
            </w:r>
            <w:r>
              <w:rPr>
                <w:rStyle w:val="19"/>
                <w:rFonts w:hint="default"/>
                <w:color w:val="auto"/>
              </w:rPr>
              <w:t>、氨氮</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月</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监测1天每天2次</w:t>
            </w:r>
          </w:p>
        </w:tc>
      </w:tr>
      <w:tr>
        <w:tblPrEx>
          <w:tblCellMar>
            <w:top w:w="0" w:type="dxa"/>
            <w:left w:w="0" w:type="dxa"/>
            <w:bottom w:w="0" w:type="dxa"/>
            <w:right w:w="0" w:type="dxa"/>
          </w:tblCellMar>
        </w:tblPrEx>
        <w:trPr>
          <w:trHeight w:val="620" w:hRule="atLeast"/>
        </w:trPr>
        <w:tc>
          <w:tcPr>
            <w:tcW w:w="893" w:type="dxa"/>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sz w:val="20"/>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0"/>
              </w:rPr>
            </w:pPr>
            <w:r>
              <w:rPr>
                <w:rStyle w:val="24"/>
                <w:color w:val="auto"/>
              </w:rPr>
              <w:t>SS</w:t>
            </w:r>
            <w:r>
              <w:rPr>
                <w:rStyle w:val="25"/>
                <w:rFonts w:hint="default"/>
                <w:color w:val="auto"/>
              </w:rPr>
              <w:t>、总余氯（</w:t>
            </w:r>
            <w:r>
              <w:rPr>
                <w:rStyle w:val="24"/>
                <w:color w:val="auto"/>
              </w:rPr>
              <w:t>2</w:t>
            </w:r>
            <w:r>
              <w:rPr>
                <w:rStyle w:val="25"/>
                <w:rFonts w:hint="default"/>
                <w:color w:val="auto"/>
              </w:rPr>
              <w:t>次</w:t>
            </w:r>
            <w:r>
              <w:rPr>
                <w:rStyle w:val="24"/>
                <w:color w:val="auto"/>
              </w:rPr>
              <w:t>/</w:t>
            </w:r>
            <w:r>
              <w:rPr>
                <w:rStyle w:val="25"/>
                <w:rFonts w:hint="default"/>
                <w:color w:val="auto"/>
              </w:rPr>
              <w:t>日）等</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rStyle w:val="24"/>
                <w:color w:val="auto"/>
              </w:rPr>
              <w:t>1</w:t>
            </w:r>
            <w:r>
              <w:rPr>
                <w:rStyle w:val="25"/>
                <w:rFonts w:hint="default"/>
                <w:color w:val="auto"/>
              </w:rPr>
              <w:t>次</w:t>
            </w:r>
            <w:r>
              <w:rPr>
                <w:rStyle w:val="24"/>
                <w:color w:val="auto"/>
              </w:rPr>
              <w:t>/</w:t>
            </w:r>
            <w:r>
              <w:rPr>
                <w:rStyle w:val="25"/>
                <w:rFonts w:hint="default"/>
                <w:color w:val="auto"/>
              </w:rPr>
              <w:t>月</w:t>
            </w: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620" w:hRule="atLeast"/>
        </w:trPr>
        <w:tc>
          <w:tcPr>
            <w:tcW w:w="893" w:type="dxa"/>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sz w:val="20"/>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粪大肠菌群数</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月</w:t>
            </w: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620" w:hRule="atLeast"/>
        </w:trPr>
        <w:tc>
          <w:tcPr>
            <w:tcW w:w="893" w:type="dxa"/>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sz w:val="20"/>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0"/>
              </w:rPr>
            </w:pPr>
            <w:r>
              <w:rPr>
                <w:kern w:val="0"/>
                <w:sz w:val="20"/>
              </w:rPr>
              <w:t>BOD5</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20"/>
                <w:b w:val="0"/>
                <w:bCs/>
                <w:color w:val="auto"/>
              </w:rPr>
              <w:t>1</w:t>
            </w:r>
            <w:r>
              <w:rPr>
                <w:rStyle w:val="19"/>
                <w:rFonts w:hint="default"/>
                <w:b w:val="0"/>
                <w:bCs/>
                <w:color w:val="auto"/>
              </w:rPr>
              <w:t>次</w:t>
            </w:r>
            <w:r>
              <w:rPr>
                <w:rStyle w:val="20"/>
                <w:b w:val="0"/>
                <w:bCs/>
                <w:color w:val="auto"/>
              </w:rPr>
              <w:t>/</w:t>
            </w:r>
            <w:r>
              <w:rPr>
                <w:rFonts w:hint="eastAsia" w:ascii="宋体" w:hAnsi="宋体" w:cs="宋体"/>
                <w:kern w:val="0"/>
                <w:sz w:val="20"/>
              </w:rPr>
              <w:t>季度</w:t>
            </w: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270" w:hRule="atLeast"/>
        </w:trPr>
        <w:tc>
          <w:tcPr>
            <w:tcW w:w="893" w:type="dxa"/>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清下水排放口</w:t>
            </w:r>
          </w:p>
        </w:tc>
        <w:tc>
          <w:tcPr>
            <w:tcW w:w="0" w:type="auto"/>
            <w:vMerge w:val="restart"/>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sz w:val="20"/>
              </w:rPr>
            </w:pP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pH</w:t>
            </w:r>
            <w:r>
              <w:rPr>
                <w:rStyle w:val="19"/>
                <w:rFonts w:hint="default"/>
                <w:color w:val="auto"/>
              </w:rPr>
              <w:t>、</w:t>
            </w:r>
            <w:r>
              <w:rPr>
                <w:rStyle w:val="20"/>
                <w:color w:val="auto"/>
              </w:rPr>
              <w:t>SS</w:t>
            </w:r>
            <w:r>
              <w:rPr>
                <w:rStyle w:val="19"/>
                <w:rFonts w:hint="default"/>
                <w:color w:val="auto"/>
              </w:rPr>
              <w:t>、</w:t>
            </w:r>
            <w:r>
              <w:rPr>
                <w:rStyle w:val="20"/>
                <w:color w:val="auto"/>
              </w:rPr>
              <w:t>CODcr</w:t>
            </w:r>
            <w:r>
              <w:rPr>
                <w:rStyle w:val="19"/>
                <w:rFonts w:hint="default"/>
                <w:color w:val="auto"/>
              </w:rPr>
              <w:t>、氨氮</w:t>
            </w:r>
          </w:p>
        </w:tc>
        <w:tc>
          <w:tcPr>
            <w:tcW w:w="1213"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kern w:val="0"/>
                <w:sz w:val="20"/>
              </w:rPr>
              <w:t>1次/月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监测1天每天2次</w:t>
            </w:r>
          </w:p>
        </w:tc>
      </w:tr>
      <w:tr>
        <w:tblPrEx>
          <w:tblCellMar>
            <w:top w:w="0" w:type="dxa"/>
            <w:left w:w="0" w:type="dxa"/>
            <w:bottom w:w="0" w:type="dxa"/>
            <w:right w:w="0" w:type="dxa"/>
          </w:tblCellMar>
        </w:tblPrEx>
        <w:trPr>
          <w:trHeight w:val="270" w:hRule="atLeast"/>
        </w:trPr>
        <w:tc>
          <w:tcPr>
            <w:tcW w:w="893" w:type="dxa"/>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0" w:type="auto"/>
            <w:vMerge w:val="continue"/>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sz w:val="20"/>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rPr>
            </w:pPr>
          </w:p>
        </w:tc>
        <w:tc>
          <w:tcPr>
            <w:tcW w:w="121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sz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1320" w:hRule="atLeast"/>
        </w:trPr>
        <w:tc>
          <w:tcPr>
            <w:tcW w:w="893"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废气排放监测</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焚烧生产单元</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sz w:val="20"/>
                <w:lang w:val="en-US" w:eastAsia="zh-CN"/>
              </w:rPr>
            </w:pPr>
            <w:r>
              <w:rPr>
                <w:rStyle w:val="19"/>
                <w:rFonts w:hint="default"/>
                <w:color w:val="auto"/>
              </w:rPr>
              <w:t>焚烧排气筒（</w:t>
            </w:r>
            <w:r>
              <w:rPr>
                <w:rStyle w:val="20"/>
                <w:color w:val="auto"/>
              </w:rPr>
              <w:t>B#</w:t>
            </w:r>
            <w:r>
              <w:rPr>
                <w:rStyle w:val="19"/>
                <w:rFonts w:hint="default"/>
                <w:color w:val="auto"/>
              </w:rPr>
              <w:t>线：</w:t>
            </w:r>
            <w:r>
              <w:rPr>
                <w:rStyle w:val="20"/>
                <w:color w:val="auto"/>
              </w:rPr>
              <w:t>50</w:t>
            </w:r>
            <w:r>
              <w:rPr>
                <w:rStyle w:val="19"/>
                <w:rFonts w:hint="default"/>
                <w:color w:val="auto"/>
              </w:rPr>
              <w:t>米烟囱，</w:t>
            </w:r>
            <w:r>
              <w:rPr>
                <w:rStyle w:val="20"/>
                <w:color w:val="auto"/>
              </w:rPr>
              <w:t>φ1.5m</w:t>
            </w:r>
            <w:r>
              <w:rPr>
                <w:rStyle w:val="19"/>
                <w:rFonts w:hint="default"/>
                <w:color w:val="auto"/>
              </w:rPr>
              <w:t>，</w:t>
            </w:r>
            <w:r>
              <w:rPr>
                <w:rStyle w:val="24"/>
                <w:color w:val="auto"/>
              </w:rPr>
              <w:t>1</w:t>
            </w:r>
            <w:r>
              <w:rPr>
                <w:rStyle w:val="25"/>
                <w:rFonts w:hint="default"/>
                <w:color w:val="auto"/>
              </w:rPr>
              <w:t>个断</w:t>
            </w:r>
            <w:r>
              <w:rPr>
                <w:rStyle w:val="19"/>
                <w:rFonts w:hint="default"/>
                <w:color w:val="auto"/>
              </w:rPr>
              <w:t>面；</w:t>
            </w:r>
            <w:r>
              <w:rPr>
                <w:rStyle w:val="20"/>
                <w:color w:val="auto"/>
              </w:rPr>
              <w:t>A#</w:t>
            </w:r>
            <w:r>
              <w:rPr>
                <w:rStyle w:val="19"/>
                <w:rFonts w:hint="default"/>
                <w:color w:val="auto"/>
              </w:rPr>
              <w:t>线：</w:t>
            </w:r>
            <w:r>
              <w:rPr>
                <w:rStyle w:val="20"/>
                <w:color w:val="auto"/>
              </w:rPr>
              <w:t>50</w:t>
            </w:r>
            <w:r>
              <w:rPr>
                <w:rStyle w:val="19"/>
                <w:rFonts w:hint="default"/>
                <w:color w:val="auto"/>
              </w:rPr>
              <w:t>米烟囱，</w:t>
            </w:r>
            <w:r>
              <w:rPr>
                <w:rStyle w:val="20"/>
                <w:color w:val="auto"/>
              </w:rPr>
              <w:t>φ1.5m</w:t>
            </w:r>
            <w:r>
              <w:rPr>
                <w:rStyle w:val="19"/>
                <w:rFonts w:hint="default"/>
                <w:color w:val="auto"/>
              </w:rPr>
              <w:t>，</w:t>
            </w:r>
            <w:r>
              <w:rPr>
                <w:rStyle w:val="24"/>
                <w:color w:val="auto"/>
              </w:rPr>
              <w:t>1</w:t>
            </w:r>
            <w:r>
              <w:rPr>
                <w:rStyle w:val="25"/>
                <w:rFonts w:hint="default"/>
                <w:color w:val="auto"/>
              </w:rPr>
              <w:t>个断</w:t>
            </w:r>
            <w:r>
              <w:rPr>
                <w:rStyle w:val="19"/>
                <w:rFonts w:hint="default"/>
                <w:color w:val="auto"/>
              </w:rPr>
              <w:t>面）</w:t>
            </w:r>
            <w:r>
              <w:rPr>
                <w:rStyle w:val="19"/>
                <w:rFonts w:hint="eastAsia"/>
                <w:color w:val="auto"/>
                <w:lang w:eastAsia="zh-CN"/>
              </w:rPr>
              <w:t>共</w:t>
            </w:r>
            <w:r>
              <w:rPr>
                <w:rStyle w:val="19"/>
                <w:rFonts w:hint="eastAsia"/>
                <w:color w:val="auto"/>
                <w:lang w:val="en-US" w:eastAsia="zh-CN"/>
              </w:rPr>
              <w:t>2条线。</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烟尘（颗粒物）、一氧化碳、二氧化硫、氯化氢、氮氧化物（以</w:t>
            </w:r>
            <w:r>
              <w:rPr>
                <w:rStyle w:val="20"/>
                <w:color w:val="auto"/>
              </w:rPr>
              <w:t>NOx</w:t>
            </w:r>
            <w:r>
              <w:rPr>
                <w:rStyle w:val="19"/>
                <w:rFonts w:hint="default"/>
                <w:color w:val="auto"/>
              </w:rPr>
              <w:t>计）、氟化氢、流量</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监测1天每天</w:t>
            </w:r>
            <w:r>
              <w:rPr>
                <w:rStyle w:val="20"/>
                <w:color w:val="auto"/>
              </w:rPr>
              <w:t>3</w:t>
            </w:r>
            <w:r>
              <w:rPr>
                <w:rStyle w:val="19"/>
                <w:rFonts w:hint="default"/>
                <w:color w:val="auto"/>
              </w:rPr>
              <w:t>次</w:t>
            </w:r>
          </w:p>
        </w:tc>
      </w:tr>
      <w:tr>
        <w:tblPrEx>
          <w:tblCellMar>
            <w:top w:w="0" w:type="dxa"/>
            <w:left w:w="0" w:type="dxa"/>
            <w:bottom w:w="0" w:type="dxa"/>
            <w:right w:w="0" w:type="dxa"/>
          </w:tblCellMar>
        </w:tblPrEx>
        <w:trPr>
          <w:trHeight w:val="3320" w:hRule="atLeast"/>
        </w:trPr>
        <w:tc>
          <w:tcPr>
            <w:tcW w:w="89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21"/>
                <w:rFonts w:hint="default"/>
                <w:color w:val="auto"/>
              </w:rPr>
              <w:t>汞及其化合物（以</w:t>
            </w:r>
            <w:r>
              <w:rPr>
                <w:rStyle w:val="22"/>
                <w:color w:val="auto"/>
              </w:rPr>
              <w:t>Hg</w:t>
            </w:r>
            <w:r>
              <w:rPr>
                <w:rStyle w:val="21"/>
                <w:rFonts w:hint="default"/>
                <w:color w:val="auto"/>
              </w:rPr>
              <w:t>计）；铊及其化合物（以</w:t>
            </w:r>
            <w:r>
              <w:rPr>
                <w:rStyle w:val="22"/>
                <w:color w:val="auto"/>
              </w:rPr>
              <w:t>Tl</w:t>
            </w:r>
            <w:r>
              <w:rPr>
                <w:rStyle w:val="21"/>
                <w:rFonts w:hint="default"/>
                <w:color w:val="auto"/>
              </w:rPr>
              <w:t>计）；镉及其化合物（以</w:t>
            </w:r>
            <w:r>
              <w:rPr>
                <w:rStyle w:val="22"/>
                <w:color w:val="auto"/>
              </w:rPr>
              <w:t>Cd</w:t>
            </w:r>
            <w:r>
              <w:rPr>
                <w:rStyle w:val="21"/>
                <w:rFonts w:hint="default"/>
                <w:color w:val="auto"/>
              </w:rPr>
              <w:t>计）；铅及其化合物（以</w:t>
            </w:r>
            <w:r>
              <w:rPr>
                <w:rStyle w:val="22"/>
                <w:color w:val="auto"/>
              </w:rPr>
              <w:t>Pb</w:t>
            </w:r>
            <w:r>
              <w:rPr>
                <w:rStyle w:val="21"/>
                <w:rFonts w:hint="default"/>
                <w:color w:val="auto"/>
              </w:rPr>
              <w:t>计）；砷及其化合物（以</w:t>
            </w:r>
            <w:r>
              <w:rPr>
                <w:rStyle w:val="22"/>
                <w:color w:val="auto"/>
              </w:rPr>
              <w:t>As</w:t>
            </w:r>
            <w:r>
              <w:rPr>
                <w:rStyle w:val="21"/>
                <w:rFonts w:hint="default"/>
                <w:color w:val="auto"/>
              </w:rPr>
              <w:t>计）；铬及其化合物（以</w:t>
            </w:r>
            <w:r>
              <w:rPr>
                <w:rStyle w:val="22"/>
                <w:color w:val="auto"/>
              </w:rPr>
              <w:t>Cr</w:t>
            </w:r>
            <w:r>
              <w:rPr>
                <w:rStyle w:val="21"/>
                <w:rFonts w:hint="default"/>
                <w:color w:val="auto"/>
              </w:rPr>
              <w:t>计）；锡、锑、铜、锰、镍及其化合物（以</w:t>
            </w:r>
            <w:r>
              <w:rPr>
                <w:rStyle w:val="22"/>
                <w:color w:val="auto"/>
              </w:rPr>
              <w:t>Sn+Sb+Cu+Mn+Ni</w:t>
            </w:r>
            <w:r>
              <w:rPr>
                <w:rStyle w:val="21"/>
                <w:rFonts w:hint="default"/>
                <w:color w:val="auto"/>
              </w:rPr>
              <w:t>计）</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监测1天每天</w:t>
            </w:r>
            <w:r>
              <w:rPr>
                <w:rStyle w:val="20"/>
                <w:color w:val="auto"/>
              </w:rPr>
              <w:t>3</w:t>
            </w:r>
            <w:r>
              <w:rPr>
                <w:rStyle w:val="19"/>
                <w:rFonts w:hint="default"/>
                <w:color w:val="auto"/>
              </w:rPr>
              <w:t>次</w:t>
            </w:r>
          </w:p>
        </w:tc>
      </w:tr>
      <w:tr>
        <w:tblPrEx>
          <w:tblCellMar>
            <w:top w:w="0" w:type="dxa"/>
            <w:left w:w="0" w:type="dxa"/>
            <w:bottom w:w="0" w:type="dxa"/>
            <w:right w:w="0" w:type="dxa"/>
          </w:tblCellMar>
        </w:tblPrEx>
        <w:trPr>
          <w:trHeight w:val="270" w:hRule="atLeast"/>
        </w:trPr>
        <w:tc>
          <w:tcPr>
            <w:tcW w:w="89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二噁英</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半年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监测1天每天</w:t>
            </w:r>
            <w:r>
              <w:rPr>
                <w:rStyle w:val="20"/>
                <w:color w:val="auto"/>
              </w:rPr>
              <w:t>3</w:t>
            </w:r>
            <w:r>
              <w:rPr>
                <w:rStyle w:val="19"/>
                <w:rFonts w:hint="default"/>
                <w:color w:val="auto"/>
              </w:rPr>
              <w:t>次</w:t>
            </w:r>
          </w:p>
        </w:tc>
      </w:tr>
      <w:tr>
        <w:tblPrEx>
          <w:tblCellMar>
            <w:top w:w="0" w:type="dxa"/>
            <w:left w:w="0" w:type="dxa"/>
            <w:bottom w:w="0" w:type="dxa"/>
            <w:right w:w="0" w:type="dxa"/>
          </w:tblCellMar>
        </w:tblPrEx>
        <w:trPr>
          <w:trHeight w:val="1060" w:hRule="atLeast"/>
        </w:trPr>
        <w:tc>
          <w:tcPr>
            <w:tcW w:w="89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sz w:val="20"/>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危废暂存库排气筒（</w:t>
            </w:r>
            <w:r>
              <w:rPr>
                <w:rStyle w:val="20"/>
                <w:color w:val="auto"/>
              </w:rPr>
              <w:t>15</w:t>
            </w:r>
            <w:r>
              <w:rPr>
                <w:rStyle w:val="19"/>
                <w:rFonts w:hint="default"/>
                <w:color w:val="auto"/>
              </w:rPr>
              <w:t>米、</w:t>
            </w:r>
            <w:r>
              <w:rPr>
                <w:rStyle w:val="20"/>
                <w:color w:val="auto"/>
              </w:rPr>
              <w:t>φ1.5m</w:t>
            </w:r>
            <w:r>
              <w:rPr>
                <w:rStyle w:val="19"/>
                <w:rFonts w:hint="default"/>
                <w:color w:val="auto"/>
              </w:rPr>
              <w:t>，</w:t>
            </w:r>
            <w:r>
              <w:rPr>
                <w:rStyle w:val="20"/>
                <w:color w:val="auto"/>
              </w:rPr>
              <w:t>1</w:t>
            </w:r>
            <w:r>
              <w:rPr>
                <w:rStyle w:val="19"/>
                <w:rFonts w:hint="default"/>
                <w:color w:val="auto"/>
              </w:rPr>
              <w:t>个断面）</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NH</w:t>
            </w:r>
            <w:r>
              <w:rPr>
                <w:rStyle w:val="20"/>
                <w:color w:val="auto"/>
                <w:vertAlign w:val="subscript"/>
              </w:rPr>
              <w:t>3</w:t>
            </w:r>
            <w:r>
              <w:rPr>
                <w:rStyle w:val="19"/>
                <w:rFonts w:hint="default"/>
                <w:color w:val="auto"/>
              </w:rPr>
              <w:t>、</w:t>
            </w:r>
            <w:r>
              <w:rPr>
                <w:rStyle w:val="20"/>
                <w:color w:val="auto"/>
              </w:rPr>
              <w:t>H</w:t>
            </w:r>
            <w:r>
              <w:rPr>
                <w:rStyle w:val="20"/>
                <w:color w:val="auto"/>
                <w:vertAlign w:val="subscript"/>
              </w:rPr>
              <w:t>2</w:t>
            </w:r>
            <w:r>
              <w:rPr>
                <w:rStyle w:val="20"/>
                <w:color w:val="auto"/>
              </w:rPr>
              <w:t>S</w:t>
            </w:r>
            <w:r>
              <w:rPr>
                <w:rStyle w:val="19"/>
                <w:rFonts w:hint="default"/>
                <w:color w:val="auto"/>
              </w:rPr>
              <w:t>、臭气浓度、颗粒物、非甲烷总烃</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监测1天每天</w:t>
            </w:r>
            <w:r>
              <w:rPr>
                <w:rStyle w:val="20"/>
                <w:color w:val="auto"/>
              </w:rPr>
              <w:t>3</w:t>
            </w:r>
            <w:r>
              <w:rPr>
                <w:rStyle w:val="19"/>
                <w:rFonts w:hint="default"/>
                <w:color w:val="auto"/>
              </w:rPr>
              <w:t>次</w:t>
            </w:r>
          </w:p>
        </w:tc>
      </w:tr>
      <w:tr>
        <w:tblPrEx>
          <w:tblCellMar>
            <w:top w:w="0" w:type="dxa"/>
            <w:left w:w="0" w:type="dxa"/>
            <w:bottom w:w="0" w:type="dxa"/>
            <w:right w:w="0" w:type="dxa"/>
          </w:tblCellMar>
        </w:tblPrEx>
        <w:trPr>
          <w:trHeight w:val="700" w:hRule="atLeast"/>
        </w:trPr>
        <w:tc>
          <w:tcPr>
            <w:tcW w:w="893"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废气排放监测</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有机暂存库、物化车间和污水处理站、固化车间、预处理及医废暂存清洗间、焚烧车间等单元</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物化及水处理车间、危废暂存库排气筒（</w:t>
            </w:r>
            <w:r>
              <w:rPr>
                <w:rStyle w:val="20"/>
                <w:color w:val="auto"/>
              </w:rPr>
              <w:t>15</w:t>
            </w:r>
            <w:r>
              <w:rPr>
                <w:rStyle w:val="19"/>
                <w:rFonts w:hint="default"/>
                <w:color w:val="auto"/>
              </w:rPr>
              <w:t>米、</w:t>
            </w:r>
            <w:r>
              <w:rPr>
                <w:rStyle w:val="20"/>
                <w:color w:val="auto"/>
              </w:rPr>
              <w:t>φ1.13m</w:t>
            </w:r>
            <w:r>
              <w:rPr>
                <w:rStyle w:val="19"/>
                <w:rFonts w:hint="default"/>
                <w:color w:val="auto"/>
              </w:rPr>
              <w:t>，</w:t>
            </w:r>
            <w:r>
              <w:rPr>
                <w:rStyle w:val="20"/>
                <w:color w:val="auto"/>
              </w:rPr>
              <w:t>1</w:t>
            </w:r>
            <w:r>
              <w:rPr>
                <w:rStyle w:val="19"/>
                <w:rFonts w:hint="default"/>
                <w:color w:val="auto"/>
              </w:rPr>
              <w:t>个断面）</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NH</w:t>
            </w:r>
            <w:r>
              <w:rPr>
                <w:rStyle w:val="20"/>
                <w:color w:val="auto"/>
                <w:vertAlign w:val="subscript"/>
              </w:rPr>
              <w:t>3</w:t>
            </w:r>
            <w:r>
              <w:rPr>
                <w:rStyle w:val="19"/>
                <w:rFonts w:hint="default"/>
                <w:color w:val="auto"/>
              </w:rPr>
              <w:t>、</w:t>
            </w:r>
            <w:r>
              <w:rPr>
                <w:rStyle w:val="20"/>
                <w:color w:val="auto"/>
              </w:rPr>
              <w:t>H</w:t>
            </w:r>
            <w:r>
              <w:rPr>
                <w:rStyle w:val="20"/>
                <w:color w:val="auto"/>
                <w:vertAlign w:val="subscript"/>
              </w:rPr>
              <w:t>2</w:t>
            </w:r>
            <w:r>
              <w:rPr>
                <w:rStyle w:val="20"/>
                <w:color w:val="auto"/>
              </w:rPr>
              <w:t>S</w:t>
            </w:r>
            <w:r>
              <w:rPr>
                <w:rStyle w:val="19"/>
                <w:rFonts w:hint="default"/>
                <w:color w:val="auto"/>
              </w:rPr>
              <w:t>、臭气浓度、颗粒物、非甲烷总烃</w:t>
            </w:r>
          </w:p>
        </w:tc>
        <w:tc>
          <w:tcPr>
            <w:tcW w:w="1213"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监测1天每天3次</w:t>
            </w:r>
          </w:p>
        </w:tc>
      </w:tr>
      <w:tr>
        <w:tblPrEx>
          <w:tblCellMar>
            <w:top w:w="0" w:type="dxa"/>
            <w:left w:w="0" w:type="dxa"/>
            <w:bottom w:w="0" w:type="dxa"/>
            <w:right w:w="0" w:type="dxa"/>
          </w:tblCellMar>
        </w:tblPrEx>
        <w:trPr>
          <w:trHeight w:val="480" w:hRule="atLeast"/>
        </w:trPr>
        <w:tc>
          <w:tcPr>
            <w:tcW w:w="89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rPr>
            </w:pPr>
          </w:p>
        </w:tc>
        <w:tc>
          <w:tcPr>
            <w:tcW w:w="121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sz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380" w:hRule="atLeast"/>
        </w:trPr>
        <w:tc>
          <w:tcPr>
            <w:tcW w:w="89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rPr>
            </w:pPr>
          </w:p>
        </w:tc>
        <w:tc>
          <w:tcPr>
            <w:tcW w:w="121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sz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1065" w:hRule="atLeast"/>
        </w:trPr>
        <w:tc>
          <w:tcPr>
            <w:tcW w:w="89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实验室排气筒（</w:t>
            </w:r>
            <w:r>
              <w:rPr>
                <w:rStyle w:val="20"/>
                <w:color w:val="auto"/>
              </w:rPr>
              <w:t>2</w:t>
            </w:r>
            <w:r>
              <w:rPr>
                <w:rStyle w:val="19"/>
                <w:rFonts w:hint="default"/>
                <w:color w:val="auto"/>
              </w:rPr>
              <w:t>个）</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0"/>
              </w:rPr>
            </w:pPr>
            <w:r>
              <w:rPr>
                <w:rStyle w:val="22"/>
                <w:color w:val="auto"/>
              </w:rPr>
              <w:t>NH</w:t>
            </w:r>
            <w:r>
              <w:rPr>
                <w:rStyle w:val="23"/>
                <w:color w:val="auto"/>
              </w:rPr>
              <w:t>3</w:t>
            </w:r>
            <w:r>
              <w:rPr>
                <w:rStyle w:val="21"/>
                <w:rFonts w:hint="default"/>
                <w:color w:val="auto"/>
              </w:rPr>
              <w:t>、</w:t>
            </w:r>
            <w:r>
              <w:rPr>
                <w:rStyle w:val="22"/>
                <w:color w:val="auto"/>
              </w:rPr>
              <w:t>H</w:t>
            </w:r>
            <w:r>
              <w:rPr>
                <w:rStyle w:val="23"/>
                <w:color w:val="auto"/>
              </w:rPr>
              <w:t>2</w:t>
            </w:r>
            <w:r>
              <w:rPr>
                <w:rStyle w:val="22"/>
                <w:color w:val="auto"/>
              </w:rPr>
              <w:t>S</w:t>
            </w:r>
            <w:r>
              <w:rPr>
                <w:rStyle w:val="21"/>
                <w:rFonts w:hint="default"/>
                <w:color w:val="auto"/>
              </w:rPr>
              <w:t>、臭气浓度、颗粒物、非甲烷总烃、</w:t>
            </w:r>
            <w:r>
              <w:rPr>
                <w:rStyle w:val="22"/>
                <w:color w:val="auto"/>
              </w:rPr>
              <w:br w:type="textWrapping"/>
            </w:r>
            <w:r>
              <w:rPr>
                <w:rStyle w:val="21"/>
                <w:rFonts w:hint="default"/>
                <w:color w:val="auto"/>
              </w:rPr>
              <w:t>氯化氢、氟化物、硫酸雾、铬酸雾</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监测1天每天</w:t>
            </w:r>
            <w:r>
              <w:rPr>
                <w:rStyle w:val="20"/>
                <w:color w:val="auto"/>
              </w:rPr>
              <w:t>3</w:t>
            </w:r>
            <w:r>
              <w:rPr>
                <w:rStyle w:val="19"/>
                <w:rFonts w:hint="default"/>
                <w:color w:val="auto"/>
              </w:rPr>
              <w:t>次</w:t>
            </w:r>
          </w:p>
        </w:tc>
      </w:tr>
      <w:tr>
        <w:tblPrEx>
          <w:tblCellMar>
            <w:top w:w="0" w:type="dxa"/>
            <w:left w:w="0" w:type="dxa"/>
            <w:bottom w:w="0" w:type="dxa"/>
            <w:right w:w="0" w:type="dxa"/>
          </w:tblCellMar>
        </w:tblPrEx>
        <w:trPr>
          <w:trHeight w:val="1230" w:hRule="atLeast"/>
        </w:trPr>
        <w:tc>
          <w:tcPr>
            <w:tcW w:w="89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预处理及医废暂存间排气筒（</w:t>
            </w:r>
            <w:r>
              <w:rPr>
                <w:rStyle w:val="20"/>
                <w:color w:val="auto"/>
              </w:rPr>
              <w:t>15</w:t>
            </w:r>
            <w:r>
              <w:rPr>
                <w:rStyle w:val="19"/>
                <w:rFonts w:hint="default"/>
                <w:color w:val="auto"/>
              </w:rPr>
              <w:t>米、</w:t>
            </w:r>
            <w:r>
              <w:rPr>
                <w:rStyle w:val="20"/>
                <w:color w:val="auto"/>
              </w:rPr>
              <w:t>φ0.67m</w:t>
            </w:r>
            <w:r>
              <w:rPr>
                <w:rStyle w:val="19"/>
                <w:rFonts w:hint="default"/>
                <w:color w:val="auto"/>
              </w:rPr>
              <w:t>，</w:t>
            </w:r>
            <w:r>
              <w:rPr>
                <w:rStyle w:val="20"/>
                <w:color w:val="auto"/>
              </w:rPr>
              <w:t>1</w:t>
            </w:r>
            <w:r>
              <w:rPr>
                <w:rStyle w:val="19"/>
                <w:rFonts w:hint="default"/>
                <w:color w:val="auto"/>
              </w:rPr>
              <w:t>个断面）</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0"/>
              </w:rPr>
            </w:pPr>
            <w:r>
              <w:rPr>
                <w:rStyle w:val="22"/>
                <w:color w:val="auto"/>
              </w:rPr>
              <w:t>NH</w:t>
            </w:r>
            <w:r>
              <w:rPr>
                <w:rStyle w:val="22"/>
                <w:color w:val="auto"/>
                <w:vertAlign w:val="subscript"/>
              </w:rPr>
              <w:t>3</w:t>
            </w:r>
            <w:r>
              <w:rPr>
                <w:rStyle w:val="21"/>
                <w:rFonts w:hint="default"/>
                <w:color w:val="auto"/>
              </w:rPr>
              <w:t>、</w:t>
            </w:r>
            <w:r>
              <w:rPr>
                <w:rStyle w:val="22"/>
                <w:color w:val="auto"/>
              </w:rPr>
              <w:t>H</w:t>
            </w:r>
            <w:r>
              <w:rPr>
                <w:rStyle w:val="22"/>
                <w:color w:val="auto"/>
                <w:vertAlign w:val="subscript"/>
              </w:rPr>
              <w:t>2</w:t>
            </w:r>
            <w:r>
              <w:rPr>
                <w:rStyle w:val="22"/>
                <w:color w:val="auto"/>
              </w:rPr>
              <w:t>S</w:t>
            </w:r>
            <w:r>
              <w:rPr>
                <w:rStyle w:val="21"/>
                <w:rFonts w:hint="default"/>
                <w:color w:val="auto"/>
              </w:rPr>
              <w:t>、臭气浓度、颗粒物、甲烷、非甲烷总烃、氯气、</w:t>
            </w:r>
            <w:r>
              <w:rPr>
                <w:rStyle w:val="22"/>
                <w:color w:val="auto"/>
              </w:rPr>
              <w:br w:type="textWrapping"/>
            </w:r>
            <w:r>
              <w:rPr>
                <w:rStyle w:val="21"/>
                <w:rFonts w:hint="default"/>
                <w:color w:val="auto"/>
              </w:rPr>
              <w:t>氯化氢、氟化物、硫酸雾、铬酸雾</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监测1天每天</w:t>
            </w:r>
            <w:r>
              <w:rPr>
                <w:rStyle w:val="20"/>
                <w:color w:val="auto"/>
              </w:rPr>
              <w:t>3</w:t>
            </w:r>
            <w:r>
              <w:rPr>
                <w:rStyle w:val="19"/>
                <w:rFonts w:hint="default"/>
                <w:color w:val="auto"/>
              </w:rPr>
              <w:t>次</w:t>
            </w:r>
          </w:p>
        </w:tc>
      </w:tr>
      <w:tr>
        <w:tblPrEx>
          <w:tblCellMar>
            <w:top w:w="0" w:type="dxa"/>
            <w:left w:w="0" w:type="dxa"/>
            <w:bottom w:w="0" w:type="dxa"/>
            <w:right w:w="0" w:type="dxa"/>
          </w:tblCellMar>
        </w:tblPrEx>
        <w:trPr>
          <w:trHeight w:val="990" w:hRule="atLeast"/>
        </w:trPr>
        <w:tc>
          <w:tcPr>
            <w:tcW w:w="89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0"/>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固化车间排气筒（</w:t>
            </w:r>
            <w:r>
              <w:rPr>
                <w:rStyle w:val="20"/>
                <w:color w:val="auto"/>
              </w:rPr>
              <w:t>15</w:t>
            </w:r>
            <w:r>
              <w:rPr>
                <w:rStyle w:val="19"/>
                <w:rFonts w:hint="default"/>
                <w:color w:val="auto"/>
              </w:rPr>
              <w:t>米、</w:t>
            </w:r>
            <w:r>
              <w:rPr>
                <w:rStyle w:val="20"/>
                <w:color w:val="auto"/>
              </w:rPr>
              <w:t>φ0.25m</w:t>
            </w:r>
            <w:r>
              <w:rPr>
                <w:rStyle w:val="19"/>
                <w:rFonts w:hint="default"/>
                <w:color w:val="auto"/>
              </w:rPr>
              <w:t>，</w:t>
            </w:r>
            <w:r>
              <w:rPr>
                <w:rStyle w:val="20"/>
                <w:color w:val="auto"/>
              </w:rPr>
              <w:t>1</w:t>
            </w:r>
            <w:r>
              <w:rPr>
                <w:rStyle w:val="19"/>
                <w:rFonts w:hint="default"/>
                <w:color w:val="auto"/>
              </w:rPr>
              <w:t>个断面）</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颗粒物、铅、砷、镉</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监测1天每天</w:t>
            </w:r>
            <w:r>
              <w:rPr>
                <w:rStyle w:val="20"/>
                <w:color w:val="auto"/>
              </w:rPr>
              <w:t>3</w:t>
            </w:r>
            <w:r>
              <w:rPr>
                <w:rStyle w:val="19"/>
                <w:rFonts w:hint="default"/>
                <w:color w:val="auto"/>
              </w:rPr>
              <w:t>次</w:t>
            </w:r>
          </w:p>
        </w:tc>
      </w:tr>
      <w:tr>
        <w:tblPrEx>
          <w:tblCellMar>
            <w:top w:w="0" w:type="dxa"/>
            <w:left w:w="0" w:type="dxa"/>
            <w:bottom w:w="0" w:type="dxa"/>
            <w:right w:w="0" w:type="dxa"/>
          </w:tblCellMar>
        </w:tblPrEx>
        <w:trPr>
          <w:trHeight w:val="1260" w:hRule="atLeast"/>
        </w:trPr>
        <w:tc>
          <w:tcPr>
            <w:tcW w:w="893"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sz w:val="20"/>
              </w:rPr>
            </w:pPr>
          </w:p>
        </w:tc>
        <w:tc>
          <w:tcPr>
            <w:tcW w:w="167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焚烧厂区无组织排放气体检测</w:t>
            </w:r>
          </w:p>
        </w:tc>
        <w:tc>
          <w:tcPr>
            <w:tcW w:w="14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周界四周，共</w:t>
            </w:r>
            <w:r>
              <w:rPr>
                <w:rStyle w:val="20"/>
                <w:color w:val="auto"/>
              </w:rPr>
              <w:t>4</w:t>
            </w:r>
            <w:r>
              <w:rPr>
                <w:rStyle w:val="19"/>
                <w:rFonts w:hint="default"/>
                <w:color w:val="auto"/>
              </w:rPr>
              <w:t>个</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硫化氢；氨；氯化氢；氟化物；氯气；颗粒物；臭气浓度；甲烷；非甲烷总烃；</w:t>
            </w:r>
          </w:p>
        </w:tc>
        <w:tc>
          <w:tcPr>
            <w:tcW w:w="1213"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监测1天每天</w:t>
            </w:r>
            <w:r>
              <w:rPr>
                <w:rStyle w:val="20"/>
                <w:color w:val="auto"/>
              </w:rPr>
              <w:t>3</w:t>
            </w:r>
            <w:r>
              <w:rPr>
                <w:rStyle w:val="19"/>
                <w:rFonts w:hint="default"/>
                <w:color w:val="auto"/>
              </w:rPr>
              <w:t>次</w:t>
            </w:r>
          </w:p>
        </w:tc>
      </w:tr>
      <w:tr>
        <w:tblPrEx>
          <w:tblCellMar>
            <w:top w:w="0" w:type="dxa"/>
            <w:left w:w="0" w:type="dxa"/>
            <w:bottom w:w="0" w:type="dxa"/>
            <w:right w:w="0" w:type="dxa"/>
          </w:tblCellMar>
        </w:tblPrEx>
        <w:trPr>
          <w:trHeight w:val="495" w:hRule="atLeast"/>
        </w:trPr>
        <w:tc>
          <w:tcPr>
            <w:tcW w:w="0" w:type="auto"/>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噪声</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厂界四周</w:t>
            </w:r>
          </w:p>
        </w:tc>
        <w:tc>
          <w:tcPr>
            <w:tcW w:w="1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周界四周，共</w:t>
            </w:r>
            <w:r>
              <w:rPr>
                <w:rStyle w:val="20"/>
                <w:color w:val="auto"/>
              </w:rPr>
              <w:t>4</w:t>
            </w:r>
            <w:r>
              <w:rPr>
                <w:rStyle w:val="19"/>
                <w:rFonts w:hint="default"/>
                <w:color w:val="auto"/>
              </w:rPr>
              <w:t>个</w:t>
            </w:r>
          </w:p>
        </w:tc>
        <w:tc>
          <w:tcPr>
            <w:tcW w:w="2155" w:type="dxa"/>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噪声（等效连续</w:t>
            </w:r>
            <w:r>
              <w:rPr>
                <w:rStyle w:val="20"/>
                <w:color w:val="auto"/>
              </w:rPr>
              <w:t>A</w:t>
            </w:r>
            <w:r>
              <w:rPr>
                <w:rStyle w:val="19"/>
                <w:rFonts w:hint="default"/>
                <w:color w:val="auto"/>
              </w:rPr>
              <w:t>声级）</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1次/季</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监测1天每天</w:t>
            </w:r>
            <w:r>
              <w:rPr>
                <w:rStyle w:val="20"/>
                <w:color w:val="auto"/>
              </w:rPr>
              <w:t>2</w:t>
            </w:r>
            <w:r>
              <w:rPr>
                <w:rStyle w:val="19"/>
                <w:rFonts w:hint="default"/>
                <w:color w:val="auto"/>
              </w:rPr>
              <w:t>次</w:t>
            </w:r>
            <w:r>
              <w:rPr>
                <w:rStyle w:val="19"/>
                <w:rFonts w:hint="default"/>
                <w:color w:val="auto"/>
              </w:rPr>
              <w:br w:type="textWrapping"/>
            </w:r>
            <w:r>
              <w:rPr>
                <w:rStyle w:val="19"/>
                <w:rFonts w:hint="default"/>
                <w:color w:val="auto"/>
              </w:rPr>
              <w:t>（昼夜各一次）</w:t>
            </w:r>
          </w:p>
        </w:tc>
      </w:tr>
      <w:tr>
        <w:tblPrEx>
          <w:tblCellMar>
            <w:top w:w="0" w:type="dxa"/>
            <w:left w:w="0" w:type="dxa"/>
            <w:bottom w:w="0" w:type="dxa"/>
            <w:right w:w="0" w:type="dxa"/>
          </w:tblCellMar>
        </w:tblPrEx>
        <w:trPr>
          <w:trHeight w:val="1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周边环境</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环境空气</w:t>
            </w:r>
          </w:p>
        </w:tc>
        <w:tc>
          <w:tcPr>
            <w:tcW w:w="1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主导风向上风向和最大落地浓度点附近，</w:t>
            </w:r>
            <w:r>
              <w:rPr>
                <w:rStyle w:val="25"/>
                <w:rFonts w:hint="default"/>
                <w:color w:val="auto"/>
              </w:rPr>
              <w:t>共</w:t>
            </w:r>
            <w:r>
              <w:rPr>
                <w:rStyle w:val="24"/>
                <w:color w:val="auto"/>
              </w:rPr>
              <w:t>2</w:t>
            </w:r>
            <w:r>
              <w:rPr>
                <w:rStyle w:val="25"/>
                <w:rFonts w:hint="default"/>
                <w:color w:val="auto"/>
              </w:rPr>
              <w:t>个点</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0"/>
              </w:rPr>
            </w:pPr>
            <w:r>
              <w:rPr>
                <w:rStyle w:val="22"/>
                <w:color w:val="auto"/>
              </w:rPr>
              <w:t>SO</w:t>
            </w:r>
            <w:r>
              <w:rPr>
                <w:rStyle w:val="23"/>
                <w:color w:val="auto"/>
              </w:rPr>
              <w:t>2</w:t>
            </w:r>
            <w:r>
              <w:rPr>
                <w:rStyle w:val="21"/>
                <w:rFonts w:hint="default"/>
                <w:color w:val="auto"/>
              </w:rPr>
              <w:t>、</w:t>
            </w:r>
            <w:r>
              <w:rPr>
                <w:rStyle w:val="22"/>
                <w:color w:val="auto"/>
              </w:rPr>
              <w:t>NO</w:t>
            </w:r>
            <w:r>
              <w:rPr>
                <w:rStyle w:val="23"/>
                <w:color w:val="auto"/>
              </w:rPr>
              <w:t>X</w:t>
            </w:r>
            <w:r>
              <w:rPr>
                <w:rStyle w:val="21"/>
                <w:rFonts w:hint="default"/>
                <w:color w:val="auto"/>
              </w:rPr>
              <w:t>、颗粒物、</w:t>
            </w:r>
            <w:r>
              <w:rPr>
                <w:rStyle w:val="22"/>
                <w:color w:val="auto"/>
              </w:rPr>
              <w:t>PM10</w:t>
            </w:r>
            <w:r>
              <w:rPr>
                <w:rStyle w:val="21"/>
                <w:rFonts w:hint="default"/>
                <w:color w:val="auto"/>
              </w:rPr>
              <w:t>、</w:t>
            </w:r>
            <w:r>
              <w:rPr>
                <w:rStyle w:val="22"/>
                <w:color w:val="auto"/>
              </w:rPr>
              <w:t>PM2.5</w:t>
            </w:r>
            <w:r>
              <w:rPr>
                <w:rStyle w:val="21"/>
                <w:rFonts w:hint="default"/>
                <w:color w:val="auto"/>
              </w:rPr>
              <w:t>，镉、汞、铅、氟化物、</w:t>
            </w:r>
            <w:r>
              <w:rPr>
                <w:rStyle w:val="22"/>
                <w:color w:val="auto"/>
              </w:rPr>
              <w:t>HCl</w:t>
            </w:r>
            <w:r>
              <w:rPr>
                <w:rStyle w:val="21"/>
                <w:rFonts w:hint="default"/>
                <w:color w:val="auto"/>
              </w:rPr>
              <w:t>、</w:t>
            </w:r>
            <w:r>
              <w:rPr>
                <w:rStyle w:val="22"/>
                <w:color w:val="auto"/>
              </w:rPr>
              <w:t>NH</w:t>
            </w:r>
            <w:r>
              <w:rPr>
                <w:rStyle w:val="22"/>
                <w:color w:val="auto"/>
                <w:vertAlign w:val="subscript"/>
              </w:rPr>
              <w:t>3</w:t>
            </w:r>
            <w:r>
              <w:rPr>
                <w:rStyle w:val="21"/>
                <w:rFonts w:hint="default"/>
                <w:color w:val="auto"/>
              </w:rPr>
              <w:t>、</w:t>
            </w:r>
            <w:r>
              <w:rPr>
                <w:rStyle w:val="22"/>
                <w:color w:val="auto"/>
              </w:rPr>
              <w:t>H</w:t>
            </w:r>
            <w:r>
              <w:rPr>
                <w:rStyle w:val="22"/>
                <w:color w:val="auto"/>
                <w:vertAlign w:val="subscript"/>
              </w:rPr>
              <w:t>2</w:t>
            </w:r>
            <w:r>
              <w:rPr>
                <w:rStyle w:val="22"/>
                <w:color w:val="auto"/>
              </w:rPr>
              <w:t>S</w:t>
            </w:r>
            <w:r>
              <w:rPr>
                <w:rStyle w:val="21"/>
                <w:rFonts w:hint="default"/>
                <w:color w:val="auto"/>
              </w:rPr>
              <w:t>、二噁英、</w:t>
            </w:r>
            <w:r>
              <w:rPr>
                <w:rStyle w:val="26"/>
                <w:rFonts w:hint="default"/>
                <w:b w:val="0"/>
                <w:color w:val="auto"/>
              </w:rPr>
              <w:t>氯气、臭气浓度</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半年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监测2天每天1次</w:t>
            </w:r>
          </w:p>
        </w:tc>
      </w:tr>
      <w:tr>
        <w:tblPrEx>
          <w:tblCellMar>
            <w:top w:w="0" w:type="dxa"/>
            <w:left w:w="0" w:type="dxa"/>
            <w:bottom w:w="0" w:type="dxa"/>
            <w:right w:w="0" w:type="dxa"/>
          </w:tblCellMar>
        </w:tblPrEx>
        <w:trPr>
          <w:trHeight w:val="1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地表水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厂外排涝河</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21"/>
                <w:rFonts w:hint="default"/>
                <w:color w:val="auto"/>
              </w:rPr>
              <w:t>水温、</w:t>
            </w:r>
            <w:r>
              <w:rPr>
                <w:rStyle w:val="22"/>
                <w:color w:val="auto"/>
              </w:rPr>
              <w:t>pH</w:t>
            </w:r>
            <w:r>
              <w:rPr>
                <w:rStyle w:val="21"/>
                <w:rFonts w:hint="default"/>
                <w:color w:val="auto"/>
              </w:rPr>
              <w:t>值、悬浮物、溶解氧、高锰酸盐指数、五日生化需氧量、氨氮、总磷、石油类、挥发酚、镉、汞、铅、总大肠菌群、细菌总数。</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监测1天每天</w:t>
            </w:r>
            <w:r>
              <w:rPr>
                <w:rStyle w:val="20"/>
                <w:color w:val="auto"/>
              </w:rPr>
              <w:t>1</w:t>
            </w:r>
            <w:r>
              <w:rPr>
                <w:rStyle w:val="19"/>
                <w:rFonts w:hint="default"/>
                <w:color w:val="auto"/>
              </w:rPr>
              <w:t>次</w:t>
            </w:r>
          </w:p>
        </w:tc>
      </w:tr>
      <w:tr>
        <w:tblPrEx>
          <w:tblCellMar>
            <w:top w:w="0" w:type="dxa"/>
            <w:left w:w="0" w:type="dxa"/>
            <w:bottom w:w="0" w:type="dxa"/>
            <w:right w:w="0" w:type="dxa"/>
          </w:tblCellMar>
        </w:tblPrEx>
        <w:trPr>
          <w:trHeight w:val="2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0"/>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地下水</w:t>
            </w:r>
            <w:r>
              <w:rPr>
                <w:rStyle w:val="20"/>
                <w:color w:val="auto"/>
              </w:rPr>
              <w:br w:type="textWrapping"/>
            </w:r>
            <w:r>
              <w:rPr>
                <w:rStyle w:val="19"/>
                <w:rFonts w:hint="default"/>
                <w:color w:val="auto"/>
              </w:rPr>
              <w:t>（</w:t>
            </w:r>
            <w:r>
              <w:rPr>
                <w:rStyle w:val="20"/>
                <w:color w:val="auto"/>
              </w:rPr>
              <w:t>6</w:t>
            </w:r>
            <w:r>
              <w:rPr>
                <w:rStyle w:val="19"/>
                <w:rFonts w:hint="default"/>
                <w:color w:val="auto"/>
              </w:rPr>
              <w:t>个点）</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sz w:val="20"/>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0"/>
              </w:rPr>
            </w:pPr>
            <w:r>
              <w:rPr>
                <w:rStyle w:val="22"/>
                <w:color w:val="auto"/>
              </w:rPr>
              <w:t>pH</w:t>
            </w:r>
            <w:r>
              <w:rPr>
                <w:rStyle w:val="21"/>
                <w:rFonts w:hint="default"/>
                <w:color w:val="auto"/>
              </w:rPr>
              <w:t>、耗氧量、溶解性总固体、氯化物、硝酸盐、亚硝酸盐、氨氮、总磷、氟化物、氰化物、挥发性</w:t>
            </w:r>
            <w:r>
              <w:rPr>
                <w:rStyle w:val="22"/>
                <w:color w:val="auto"/>
              </w:rPr>
              <w:t xml:space="preserve"> </w:t>
            </w:r>
            <w:r>
              <w:rPr>
                <w:rStyle w:val="21"/>
                <w:rFonts w:hint="default"/>
                <w:color w:val="auto"/>
              </w:rPr>
              <w:t>酚类、烷基汞、汞、铅、镉、总铬、六价铬、铜、锌、铍、钡、镍、砷、总大肠菌群、菌落总数、三</w:t>
            </w:r>
            <w:r>
              <w:rPr>
                <w:rStyle w:val="22"/>
                <w:color w:val="auto"/>
              </w:rPr>
              <w:t xml:space="preserve"> </w:t>
            </w:r>
            <w:r>
              <w:rPr>
                <w:rStyle w:val="21"/>
                <w:rFonts w:hint="default"/>
                <w:color w:val="auto"/>
              </w:rPr>
              <w:t>氯甲烷、四氯化碳、苯、甲苯</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月</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运行第一年</w:t>
            </w:r>
            <w:r>
              <w:rPr>
                <w:rStyle w:val="20"/>
                <w:color w:val="auto"/>
              </w:rPr>
              <w:t>1</w:t>
            </w:r>
            <w:r>
              <w:rPr>
                <w:rStyle w:val="19"/>
                <w:rFonts w:hint="default"/>
                <w:color w:val="auto"/>
              </w:rPr>
              <w:t>次</w:t>
            </w:r>
            <w:r>
              <w:rPr>
                <w:rStyle w:val="20"/>
                <w:color w:val="auto"/>
              </w:rPr>
              <w:t>/</w:t>
            </w:r>
            <w:r>
              <w:rPr>
                <w:rStyle w:val="19"/>
                <w:rFonts w:hint="default"/>
                <w:color w:val="auto"/>
              </w:rPr>
              <w:t>月</w:t>
            </w:r>
            <w:r>
              <w:rPr>
                <w:rStyle w:val="19"/>
                <w:rFonts w:hint="default"/>
                <w:color w:val="auto"/>
              </w:rPr>
              <w:br w:type="textWrapping"/>
            </w:r>
            <w:r>
              <w:rPr>
                <w:rStyle w:val="19"/>
                <w:rFonts w:hint="default"/>
                <w:color w:val="auto"/>
              </w:rPr>
              <w:t>监测1天每天1次。</w:t>
            </w:r>
          </w:p>
        </w:tc>
      </w:tr>
      <w:tr>
        <w:tblPrEx>
          <w:tblCellMar>
            <w:top w:w="0" w:type="dxa"/>
            <w:left w:w="0" w:type="dxa"/>
            <w:bottom w:w="0" w:type="dxa"/>
            <w:right w:w="0" w:type="dxa"/>
          </w:tblCellMar>
        </w:tblPrEx>
        <w:trPr>
          <w:trHeight w:val="7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周边环境</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土壤</w:t>
            </w:r>
            <w:r>
              <w:rPr>
                <w:rStyle w:val="20"/>
                <w:color w:val="auto"/>
              </w:rPr>
              <w:br w:type="textWrapping"/>
            </w:r>
            <w:r>
              <w:rPr>
                <w:rStyle w:val="19"/>
                <w:rFonts w:hint="default"/>
                <w:color w:val="auto"/>
              </w:rPr>
              <w:t>（</w:t>
            </w:r>
            <w:r>
              <w:rPr>
                <w:rStyle w:val="20"/>
                <w:color w:val="auto"/>
              </w:rPr>
              <w:t>4</w:t>
            </w:r>
            <w:r>
              <w:rPr>
                <w:rStyle w:val="19"/>
                <w:rFonts w:hint="default"/>
                <w:color w:val="auto"/>
              </w:rPr>
              <w:t>个点）</w:t>
            </w:r>
          </w:p>
        </w:tc>
        <w:tc>
          <w:tcPr>
            <w:tcW w:w="0" w:type="auto"/>
            <w:tcBorders>
              <w:top w:val="single" w:color="000000" w:sz="4" w:space="0"/>
              <w:left w:val="nil"/>
              <w:bottom w:val="nil"/>
              <w:right w:val="nil"/>
            </w:tcBorders>
            <w:shd w:val="clear" w:color="auto" w:fill="auto"/>
            <w:noWrap/>
            <w:tcMar>
              <w:top w:w="15" w:type="dxa"/>
              <w:left w:w="15" w:type="dxa"/>
              <w:right w:w="15" w:type="dxa"/>
            </w:tcMar>
            <w:vAlign w:val="center"/>
          </w:tcPr>
          <w:p>
            <w:pPr>
              <w:jc w:val="center"/>
              <w:rPr>
                <w:rFonts w:ascii="宋体" w:hAnsi="宋体" w:cs="宋体"/>
                <w:sz w:val="20"/>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0"/>
              </w:rPr>
            </w:pPr>
            <w:r>
              <w:rPr>
                <w:rStyle w:val="19"/>
                <w:rFonts w:hint="default"/>
                <w:color w:val="auto"/>
              </w:rPr>
              <w:t>砷；镉；铬（六价）；铜；铅；汞；镍；四氯化碳；氯仿；氯甲烷；</w:t>
            </w:r>
            <w:r>
              <w:rPr>
                <w:rStyle w:val="20"/>
                <w:color w:val="auto"/>
              </w:rPr>
              <w:t>1,1-</w:t>
            </w:r>
            <w:r>
              <w:rPr>
                <w:rStyle w:val="19"/>
                <w:rFonts w:hint="default"/>
                <w:color w:val="auto"/>
              </w:rPr>
              <w:t>二氯乙烷；</w:t>
            </w:r>
            <w:r>
              <w:rPr>
                <w:rStyle w:val="20"/>
                <w:color w:val="auto"/>
              </w:rPr>
              <w:t>1,2-</w:t>
            </w:r>
            <w:r>
              <w:rPr>
                <w:rStyle w:val="19"/>
                <w:rFonts w:hint="default"/>
                <w:color w:val="auto"/>
              </w:rPr>
              <w:t>二氯乙烷；</w:t>
            </w:r>
            <w:r>
              <w:rPr>
                <w:rStyle w:val="20"/>
                <w:color w:val="auto"/>
              </w:rPr>
              <w:t>1,1-</w:t>
            </w:r>
            <w:r>
              <w:rPr>
                <w:rStyle w:val="19"/>
                <w:rFonts w:hint="default"/>
                <w:color w:val="auto"/>
              </w:rPr>
              <w:t>二氯乙烯；顺</w:t>
            </w:r>
            <w:r>
              <w:rPr>
                <w:rStyle w:val="20"/>
                <w:color w:val="auto"/>
              </w:rPr>
              <w:t>-1,2-</w:t>
            </w:r>
            <w:r>
              <w:rPr>
                <w:rStyle w:val="19"/>
                <w:rFonts w:hint="default"/>
                <w:color w:val="auto"/>
              </w:rPr>
              <w:t>二氯乙烯；反</w:t>
            </w:r>
            <w:r>
              <w:rPr>
                <w:rStyle w:val="20"/>
                <w:color w:val="auto"/>
              </w:rPr>
              <w:t>-1,2-</w:t>
            </w:r>
            <w:r>
              <w:rPr>
                <w:rStyle w:val="19"/>
                <w:rFonts w:hint="default"/>
                <w:color w:val="auto"/>
              </w:rPr>
              <w:t>二氯乙烯；二氯甲烷；</w:t>
            </w:r>
            <w:r>
              <w:rPr>
                <w:rStyle w:val="20"/>
                <w:color w:val="auto"/>
              </w:rPr>
              <w:t>1,2-</w:t>
            </w:r>
            <w:r>
              <w:rPr>
                <w:rStyle w:val="19"/>
                <w:rFonts w:hint="default"/>
                <w:color w:val="auto"/>
              </w:rPr>
              <w:t>二氯丙烷；</w:t>
            </w:r>
            <w:r>
              <w:rPr>
                <w:rStyle w:val="20"/>
                <w:color w:val="auto"/>
              </w:rPr>
              <w:t>1,1,1,2-</w:t>
            </w:r>
            <w:r>
              <w:rPr>
                <w:rStyle w:val="19"/>
                <w:rFonts w:hint="default"/>
                <w:color w:val="auto"/>
              </w:rPr>
              <w:t>四氯乙烷；</w:t>
            </w:r>
            <w:r>
              <w:rPr>
                <w:rStyle w:val="20"/>
                <w:color w:val="auto"/>
              </w:rPr>
              <w:t>1,1,2,2-</w:t>
            </w:r>
            <w:r>
              <w:rPr>
                <w:rStyle w:val="19"/>
                <w:rFonts w:hint="default"/>
                <w:color w:val="auto"/>
              </w:rPr>
              <w:t>四氯乙烷；四氯乙烯；</w:t>
            </w:r>
            <w:r>
              <w:rPr>
                <w:rStyle w:val="20"/>
                <w:color w:val="auto"/>
              </w:rPr>
              <w:t>1,1,1-</w:t>
            </w:r>
            <w:r>
              <w:rPr>
                <w:rStyle w:val="19"/>
                <w:rFonts w:hint="default"/>
                <w:color w:val="auto"/>
              </w:rPr>
              <w:t>三氯乙烷；</w:t>
            </w:r>
            <w:r>
              <w:rPr>
                <w:rStyle w:val="20"/>
                <w:color w:val="auto"/>
              </w:rPr>
              <w:t>1,1,2-</w:t>
            </w:r>
            <w:r>
              <w:rPr>
                <w:rStyle w:val="19"/>
                <w:rFonts w:hint="default"/>
                <w:color w:val="auto"/>
              </w:rPr>
              <w:t>三氯乙烷；三氯乙烯；</w:t>
            </w:r>
            <w:r>
              <w:rPr>
                <w:rStyle w:val="20"/>
                <w:color w:val="auto"/>
              </w:rPr>
              <w:t>1,2,3,-</w:t>
            </w:r>
            <w:r>
              <w:rPr>
                <w:rStyle w:val="19"/>
                <w:rFonts w:hint="default"/>
                <w:color w:val="auto"/>
              </w:rPr>
              <w:t>三氯丙烷；氯乙烯；苯；氯苯；</w:t>
            </w:r>
            <w:r>
              <w:rPr>
                <w:rStyle w:val="20"/>
                <w:color w:val="auto"/>
              </w:rPr>
              <w:t>1,2-</w:t>
            </w:r>
            <w:r>
              <w:rPr>
                <w:rStyle w:val="19"/>
                <w:rFonts w:hint="default"/>
                <w:color w:val="auto"/>
              </w:rPr>
              <w:t>二氯苯；</w:t>
            </w:r>
            <w:r>
              <w:rPr>
                <w:rStyle w:val="20"/>
                <w:color w:val="auto"/>
              </w:rPr>
              <w:t>1,4-</w:t>
            </w:r>
            <w:r>
              <w:rPr>
                <w:rStyle w:val="19"/>
                <w:rFonts w:hint="default"/>
                <w:color w:val="auto"/>
              </w:rPr>
              <w:t>二氯苯；乙苯；苯乙烯；甲苯；间二甲苯</w:t>
            </w:r>
            <w:r>
              <w:rPr>
                <w:rStyle w:val="20"/>
                <w:color w:val="auto"/>
              </w:rPr>
              <w:t>+</w:t>
            </w:r>
            <w:r>
              <w:rPr>
                <w:rStyle w:val="19"/>
                <w:rFonts w:hint="default"/>
                <w:color w:val="auto"/>
              </w:rPr>
              <w:t>对二甲苯；邻二甲苯；硝基苯；苯胺；</w:t>
            </w:r>
            <w:r>
              <w:rPr>
                <w:rStyle w:val="20"/>
                <w:color w:val="auto"/>
              </w:rPr>
              <w:t>2-</w:t>
            </w:r>
            <w:r>
              <w:rPr>
                <w:rStyle w:val="19"/>
                <w:rFonts w:hint="default"/>
                <w:color w:val="auto"/>
              </w:rPr>
              <w:t>氯酚；苯并［</w:t>
            </w:r>
            <w:r>
              <w:rPr>
                <w:rStyle w:val="20"/>
                <w:color w:val="auto"/>
              </w:rPr>
              <w:t>a</w:t>
            </w:r>
            <w:r>
              <w:rPr>
                <w:rStyle w:val="19"/>
                <w:rFonts w:hint="default"/>
                <w:color w:val="auto"/>
              </w:rPr>
              <w:t>］蒽；苯并［</w:t>
            </w:r>
            <w:r>
              <w:rPr>
                <w:rStyle w:val="20"/>
                <w:color w:val="auto"/>
              </w:rPr>
              <w:t>a</w:t>
            </w:r>
            <w:r>
              <w:rPr>
                <w:rStyle w:val="19"/>
                <w:rFonts w:hint="default"/>
                <w:color w:val="auto"/>
              </w:rPr>
              <w:t>］芘；苯并［</w:t>
            </w:r>
            <w:r>
              <w:rPr>
                <w:rStyle w:val="20"/>
                <w:color w:val="auto"/>
              </w:rPr>
              <w:t>b</w:t>
            </w:r>
            <w:r>
              <w:rPr>
                <w:rStyle w:val="19"/>
                <w:rFonts w:hint="default"/>
                <w:color w:val="auto"/>
              </w:rPr>
              <w:t>］荧蒽；苯并［</w:t>
            </w:r>
            <w:r>
              <w:rPr>
                <w:rStyle w:val="20"/>
                <w:color w:val="auto"/>
              </w:rPr>
              <w:t>k</w:t>
            </w:r>
            <w:r>
              <w:rPr>
                <w:rStyle w:val="19"/>
                <w:rFonts w:hint="default"/>
                <w:color w:val="auto"/>
              </w:rPr>
              <w:t>］荧蒽；䓛；二苯并［</w:t>
            </w:r>
            <w:r>
              <w:rPr>
                <w:rStyle w:val="20"/>
                <w:color w:val="auto"/>
              </w:rPr>
              <w:t>a,h</w:t>
            </w:r>
            <w:r>
              <w:rPr>
                <w:rStyle w:val="19"/>
                <w:rFonts w:hint="default"/>
                <w:color w:val="auto"/>
              </w:rPr>
              <w:t>］蒽；茚并［</w:t>
            </w:r>
            <w:r>
              <w:rPr>
                <w:rStyle w:val="20"/>
                <w:color w:val="auto"/>
              </w:rPr>
              <w:t>1,2,3-cd</w:t>
            </w:r>
            <w:r>
              <w:rPr>
                <w:rStyle w:val="19"/>
                <w:rFonts w:hint="default"/>
                <w:color w:val="auto"/>
              </w:rPr>
              <w:t>］芘；萘；二噁英；</w:t>
            </w:r>
            <w:r>
              <w:rPr>
                <w:rStyle w:val="20"/>
                <w:color w:val="auto"/>
              </w:rPr>
              <w:t xml:space="preserve">pH </w:t>
            </w:r>
            <w:r>
              <w:rPr>
                <w:rStyle w:val="19"/>
                <w:rFonts w:hint="default"/>
                <w:color w:val="auto"/>
              </w:rPr>
              <w:t>值；</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sz w:val="20"/>
              </w:rPr>
            </w:pPr>
            <w:r>
              <w:rPr>
                <w:rStyle w:val="20"/>
                <w:color w:val="auto"/>
              </w:rPr>
              <w:t>1</w:t>
            </w:r>
            <w:r>
              <w:rPr>
                <w:rStyle w:val="19"/>
                <w:rFonts w:hint="default"/>
                <w:color w:val="auto"/>
              </w:rPr>
              <w:t>次</w:t>
            </w:r>
            <w:r>
              <w:rPr>
                <w:rStyle w:val="20"/>
                <w:color w:val="auto"/>
              </w:rPr>
              <w:t>/</w:t>
            </w:r>
            <w:r>
              <w:rPr>
                <w:rStyle w:val="19"/>
                <w:rFonts w:hint="default"/>
                <w:color w:val="auto"/>
              </w:rPr>
              <w:t>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0"/>
              </w:rPr>
            </w:pPr>
            <w:r>
              <w:rPr>
                <w:rFonts w:hint="eastAsia" w:ascii="宋体" w:hAnsi="宋体" w:cs="宋体"/>
                <w:kern w:val="0"/>
                <w:sz w:val="20"/>
              </w:rPr>
              <w:t>监测1天每天1次</w:t>
            </w: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农作物</w:t>
            </w:r>
            <w:r>
              <w:rPr>
                <w:rFonts w:hint="eastAsia" w:ascii="宋体" w:hAnsi="宋体" w:cs="宋体"/>
                <w:color w:val="000000"/>
                <w:kern w:val="0"/>
                <w:sz w:val="20"/>
              </w:rPr>
              <w:br w:type="textWrapping"/>
            </w:r>
            <w:r>
              <w:rPr>
                <w:rFonts w:hint="eastAsia" w:ascii="宋体" w:hAnsi="宋体" w:cs="宋体"/>
                <w:color w:val="000000"/>
                <w:kern w:val="0"/>
                <w:sz w:val="20"/>
              </w:rPr>
              <w:t>（4种）</w:t>
            </w:r>
          </w:p>
        </w:tc>
        <w:tc>
          <w:tcPr>
            <w:tcW w:w="1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二噁英</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color w:val="000000"/>
                <w:sz w:val="20"/>
              </w:rPr>
            </w:pPr>
            <w:r>
              <w:rPr>
                <w:rStyle w:val="20"/>
              </w:rPr>
              <w:t>1</w:t>
            </w:r>
            <w:r>
              <w:rPr>
                <w:rStyle w:val="19"/>
                <w:rFonts w:hint="default"/>
              </w:rPr>
              <w:t>次</w:t>
            </w:r>
            <w:r>
              <w:rPr>
                <w:rStyle w:val="20"/>
              </w:rPr>
              <w:t>/</w:t>
            </w:r>
            <w:r>
              <w:rPr>
                <w:rStyle w:val="19"/>
                <w:rFonts w:hint="default"/>
              </w:rPr>
              <w:t>年</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rPr>
            </w:pPr>
            <w:r>
              <w:rPr>
                <w:rStyle w:val="19"/>
                <w:rFonts w:hint="default"/>
              </w:rPr>
              <w:t>水产</w:t>
            </w:r>
            <w:r>
              <w:rPr>
                <w:rStyle w:val="20"/>
              </w:rPr>
              <w:br w:type="textWrapping"/>
            </w:r>
            <w:r>
              <w:rPr>
                <w:rStyle w:val="19"/>
                <w:rFonts w:hint="default"/>
              </w:rPr>
              <w:t>（</w:t>
            </w:r>
            <w:r>
              <w:rPr>
                <w:rStyle w:val="20"/>
              </w:rPr>
              <w:t>3</w:t>
            </w:r>
            <w:r>
              <w:rPr>
                <w:rStyle w:val="19"/>
                <w:rFonts w:hint="default"/>
              </w:rPr>
              <w:t>种）</w:t>
            </w:r>
          </w:p>
        </w:tc>
        <w:tc>
          <w:tcPr>
            <w:tcW w:w="1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二噁英</w:t>
            </w:r>
          </w:p>
        </w:tc>
        <w:tc>
          <w:tcPr>
            <w:tcW w:w="12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color w:val="000000"/>
                <w:sz w:val="20"/>
              </w:rPr>
            </w:pPr>
            <w:r>
              <w:rPr>
                <w:rStyle w:val="20"/>
              </w:rPr>
              <w:t>1</w:t>
            </w:r>
            <w:r>
              <w:rPr>
                <w:rStyle w:val="19"/>
                <w:rFonts w:hint="default"/>
              </w:rPr>
              <w:t>次</w:t>
            </w:r>
            <w:r>
              <w:rPr>
                <w:rStyle w:val="20"/>
              </w:rPr>
              <w:t>/</w:t>
            </w:r>
            <w:r>
              <w:rPr>
                <w:rStyle w:val="19"/>
                <w:rFonts w:hint="default"/>
              </w:rPr>
              <w:t>年</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rPr>
            </w:pPr>
          </w:p>
        </w:tc>
      </w:tr>
    </w:tbl>
    <w:p>
      <w:pPr>
        <w:pStyle w:val="2"/>
      </w:pPr>
    </w:p>
    <w:p>
      <w:pPr>
        <w:pStyle w:val="8"/>
        <w:spacing w:line="360" w:lineRule="auto"/>
        <w:jc w:val="left"/>
        <w:rPr>
          <w:rFonts w:ascii="仿宋_GB2312" w:hAnsi="宋体" w:eastAsia="仿宋_GB2312"/>
          <w:b w:val="0"/>
          <w:kern w:val="2"/>
          <w:sz w:val="24"/>
          <w:szCs w:val="22"/>
          <w:lang w:val="en-US"/>
        </w:rPr>
      </w:pPr>
      <w:r>
        <w:rPr>
          <w:rFonts w:hint="eastAsia" w:ascii="仿宋_GB2312" w:hAnsi="宋体" w:eastAsia="仿宋_GB2312"/>
          <w:b w:val="0"/>
          <w:kern w:val="2"/>
          <w:sz w:val="24"/>
          <w:szCs w:val="22"/>
          <w:lang w:val="en-US"/>
        </w:rPr>
        <w:t xml:space="preserve"> </w:t>
      </w:r>
      <w:r>
        <w:rPr>
          <w:rFonts w:hint="eastAsia" w:ascii="仿宋_GB2312" w:hAnsi="宋体" w:eastAsia="仿宋_GB2312"/>
          <w:b w:val="0"/>
          <w:kern w:val="2"/>
          <w:sz w:val="24"/>
          <w:szCs w:val="22"/>
          <w:lang w:val="en-US" w:eastAsia="zh-CN"/>
        </w:rPr>
        <w:t xml:space="preserve">   </w:t>
      </w:r>
      <w:r>
        <w:rPr>
          <w:rFonts w:hint="eastAsia" w:ascii="仿宋_GB2312" w:hAnsi="宋体" w:eastAsia="仿宋_GB2312"/>
          <w:b w:val="0"/>
          <w:kern w:val="2"/>
          <w:sz w:val="24"/>
          <w:szCs w:val="22"/>
          <w:lang w:val="en-US"/>
        </w:rPr>
        <w:t xml:space="preserve"> 二、招标人如临时增加招标检测内容清单以内的检测需求，按照中标人中标单价支付检测费用。</w:t>
      </w:r>
    </w:p>
    <w:p>
      <w:pPr>
        <w:pStyle w:val="8"/>
        <w:spacing w:line="360" w:lineRule="auto"/>
        <w:jc w:val="left"/>
        <w:rPr>
          <w:rFonts w:ascii="仿宋_GB2312" w:hAnsi="宋体" w:eastAsia="仿宋_GB2312"/>
          <w:b w:val="0"/>
          <w:kern w:val="2"/>
          <w:sz w:val="24"/>
          <w:szCs w:val="22"/>
          <w:lang w:val="en-US"/>
        </w:rPr>
      </w:pPr>
      <w:r>
        <w:rPr>
          <w:rFonts w:hint="eastAsia" w:ascii="仿宋_GB2312" w:hAnsi="宋体" w:eastAsia="仿宋_GB2312"/>
          <w:b w:val="0"/>
          <w:kern w:val="2"/>
          <w:sz w:val="24"/>
          <w:szCs w:val="22"/>
          <w:lang w:val="en-US"/>
        </w:rPr>
        <w:t xml:space="preserve">     三、临时应急检测要求：招标人因特殊情况，需应急检测服务，中标人能立即响应，在4小时内赶到现场开展采样测试工作。</w:t>
      </w:r>
    </w:p>
    <w:p>
      <w:pPr>
        <w:pStyle w:val="8"/>
        <w:spacing w:line="360" w:lineRule="auto"/>
        <w:ind w:firstLine="480" w:firstLineChars="200"/>
        <w:jc w:val="left"/>
        <w:rPr>
          <w:rFonts w:hint="eastAsia" w:ascii="仿宋_GB2312" w:hAnsi="宋体" w:eastAsia="仿宋_GB2312"/>
          <w:b w:val="0"/>
          <w:kern w:val="2"/>
          <w:sz w:val="24"/>
          <w:szCs w:val="22"/>
          <w:lang w:val="en-US"/>
        </w:rPr>
      </w:pPr>
      <w:r>
        <w:rPr>
          <w:rFonts w:hint="eastAsia" w:ascii="仿宋_GB2312" w:hAnsi="宋体" w:eastAsia="仿宋_GB2312"/>
          <w:b w:val="0"/>
          <w:kern w:val="2"/>
          <w:sz w:val="24"/>
          <w:szCs w:val="22"/>
          <w:lang w:val="en-US"/>
        </w:rPr>
        <w:t>四、采样要求：每批次采样人员均要对委托的采样点位熟悉，采样人员要提前三天报备委托方。</w:t>
      </w:r>
    </w:p>
    <w:p>
      <w:pPr>
        <w:pStyle w:val="8"/>
        <w:spacing w:line="360" w:lineRule="auto"/>
        <w:jc w:val="left"/>
        <w:rPr>
          <w:rFonts w:ascii="仿宋_GB2312" w:hAnsi="宋体" w:eastAsia="仿宋_GB2312"/>
          <w:b w:val="0"/>
          <w:kern w:val="2"/>
          <w:sz w:val="24"/>
          <w:szCs w:val="22"/>
          <w:lang w:val="en-US"/>
        </w:rPr>
      </w:pPr>
      <w:r>
        <w:rPr>
          <w:rFonts w:hint="eastAsia" w:ascii="仿宋_GB2312" w:hAnsi="宋体" w:eastAsia="仿宋_GB2312"/>
          <w:b w:val="0"/>
          <w:kern w:val="2"/>
          <w:sz w:val="24"/>
          <w:szCs w:val="22"/>
          <w:lang w:val="en-US"/>
        </w:rPr>
        <w:t xml:space="preserve">     五、报告要求：采样由中标人负责。在满足正常监测工作条件的情况下，</w:t>
      </w:r>
      <w:r>
        <w:rPr>
          <w:rFonts w:hint="eastAsia" w:ascii="仿宋_GB2312" w:hAnsi="宋体" w:eastAsia="仿宋_GB2312"/>
          <w:b w:val="0"/>
          <w:bCs/>
          <w:color w:val="auto"/>
          <w:kern w:val="2"/>
          <w:sz w:val="24"/>
          <w:szCs w:val="22"/>
          <w:lang w:val="en-US"/>
        </w:rPr>
        <w:t>每次</w:t>
      </w:r>
      <w:r>
        <w:rPr>
          <w:rFonts w:hint="eastAsia" w:ascii="仿宋_GB2312" w:hAnsi="宋体" w:eastAsia="仿宋_GB2312"/>
          <w:b w:val="0"/>
          <w:kern w:val="2"/>
          <w:sz w:val="24"/>
          <w:szCs w:val="22"/>
          <w:lang w:val="en-US"/>
        </w:rPr>
        <w:t>采样结束后，中标人出具相应的独立检测报告（加盖CMA章），包括一式两份的纸质检测报告及一份电子报告。电子报告需在当月月底前出具，书面报告（一式两份）需在次月5号前送达。</w:t>
      </w:r>
    </w:p>
    <w:p>
      <w:pPr>
        <w:pStyle w:val="8"/>
        <w:spacing w:line="360" w:lineRule="auto"/>
        <w:jc w:val="left"/>
        <w:rPr>
          <w:rFonts w:ascii="仿宋_GB2312" w:hAnsi="宋体" w:eastAsia="仿宋_GB2312"/>
          <w:b w:val="0"/>
          <w:kern w:val="2"/>
          <w:sz w:val="24"/>
          <w:szCs w:val="22"/>
          <w:lang w:val="en-US"/>
        </w:rPr>
      </w:pPr>
      <w:r>
        <w:rPr>
          <w:rFonts w:hint="eastAsia" w:ascii="仿宋_GB2312" w:hAnsi="宋体" w:eastAsia="仿宋_GB2312"/>
          <w:b w:val="0"/>
          <w:kern w:val="2"/>
          <w:sz w:val="24"/>
          <w:szCs w:val="22"/>
          <w:lang w:val="en-US"/>
        </w:rPr>
        <w:t xml:space="preserve">     六、测定准确度要求：每一批样品至少带一个质控样品。</w:t>
      </w:r>
    </w:p>
    <w:p>
      <w:pPr>
        <w:pStyle w:val="8"/>
        <w:spacing w:line="360" w:lineRule="auto"/>
        <w:jc w:val="left"/>
        <w:rPr>
          <w:rFonts w:ascii="仿宋_GB2312" w:hAnsi="宋体" w:eastAsia="仿宋_GB2312"/>
          <w:b w:val="0"/>
          <w:kern w:val="2"/>
          <w:sz w:val="24"/>
          <w:szCs w:val="22"/>
          <w:lang w:val="en-US"/>
        </w:rPr>
      </w:pPr>
      <w:r>
        <w:rPr>
          <w:rFonts w:hint="eastAsia" w:ascii="仿宋_GB2312" w:hAnsi="宋体" w:eastAsia="仿宋_GB2312"/>
          <w:b w:val="0"/>
          <w:kern w:val="2"/>
          <w:sz w:val="24"/>
          <w:szCs w:val="22"/>
          <w:lang w:val="en-US"/>
        </w:rPr>
        <w:t xml:space="preserve">     七、投标人须在杭州地区范围内拥有独立实验室，工作场所面积不少于1000平方米，满足招标人所有检测项目的检测需求，并能确保样品的有效性。</w:t>
      </w:r>
    </w:p>
    <w:p>
      <w:pPr>
        <w:pStyle w:val="8"/>
        <w:spacing w:line="360" w:lineRule="auto"/>
        <w:jc w:val="left"/>
        <w:rPr>
          <w:rFonts w:ascii="仿宋_GB2312" w:hAnsi="宋体" w:eastAsia="仿宋_GB2312"/>
          <w:b w:val="0"/>
          <w:kern w:val="2"/>
          <w:sz w:val="24"/>
          <w:szCs w:val="22"/>
          <w:lang w:val="en-US"/>
        </w:rPr>
      </w:pPr>
      <w:r>
        <w:rPr>
          <w:rFonts w:hint="eastAsia" w:ascii="仿宋_GB2312" w:hAnsi="宋体" w:eastAsia="仿宋_GB2312"/>
          <w:b w:val="0"/>
          <w:kern w:val="2"/>
          <w:sz w:val="24"/>
          <w:szCs w:val="22"/>
          <w:lang w:val="en-US"/>
        </w:rPr>
        <w:t xml:space="preserve">     八、中标人在实施项目检测之前，须与招标人确定检测具体位置和检测时间。未经招标人确定的检测位置和检测时间，招标人可视其检测结果无效。</w:t>
      </w:r>
    </w:p>
    <w:p>
      <w:pPr>
        <w:ind w:firstLine="638" w:firstLineChars="266"/>
        <w:rPr>
          <w:rFonts w:ascii="仿宋_GB2312" w:hAnsi="宋体" w:eastAsia="仿宋_GB2312"/>
          <w:sz w:val="24"/>
          <w:szCs w:val="22"/>
        </w:rPr>
      </w:pPr>
      <w:r>
        <w:rPr>
          <w:rFonts w:hint="eastAsia" w:ascii="仿宋_GB2312" w:hAnsi="宋体" w:eastAsia="仿宋_GB2312"/>
          <w:sz w:val="24"/>
          <w:szCs w:val="22"/>
        </w:rPr>
        <w:t>九、服务周期：1年。</w:t>
      </w:r>
    </w:p>
    <w:p>
      <w:pPr>
        <w:pStyle w:val="2"/>
      </w:pPr>
    </w:p>
    <w:p>
      <w:pPr>
        <w:pStyle w:val="8"/>
        <w:spacing w:line="360" w:lineRule="auto"/>
        <w:rPr>
          <w:rStyle w:val="13"/>
          <w:rFonts w:ascii="仿宋_GB2312" w:eastAsia="仿宋_GB2312"/>
          <w:b/>
          <w:spacing w:val="0"/>
          <w:sz w:val="44"/>
          <w:lang w:val="en-GB"/>
        </w:rPr>
      </w:pPr>
      <w:r>
        <w:rPr>
          <w:rFonts w:ascii="仿宋_GB2312" w:hAnsi="宋体" w:eastAsia="仿宋_GB2312"/>
          <w:bCs/>
          <w:sz w:val="28"/>
          <w:szCs w:val="28"/>
        </w:rPr>
        <w:br w:type="page"/>
      </w:r>
      <w:bookmarkStart w:id="41" w:name="_Toc509229875"/>
      <w:bookmarkStart w:id="42" w:name="_Toc473012596"/>
      <w:bookmarkStart w:id="43" w:name="_Toc509228412"/>
      <w:r>
        <w:rPr>
          <w:rStyle w:val="13"/>
          <w:rFonts w:hint="eastAsia" w:ascii="仿宋_GB2312" w:eastAsia="仿宋_GB2312"/>
          <w:b/>
          <w:spacing w:val="0"/>
          <w:sz w:val="44"/>
          <w:lang w:val="en-GB"/>
        </w:rPr>
        <w:t>第四部分  合同</w:t>
      </w:r>
      <w:bookmarkEnd w:id="41"/>
      <w:bookmarkEnd w:id="42"/>
      <w:bookmarkEnd w:id="43"/>
      <w:r>
        <w:rPr>
          <w:rStyle w:val="13"/>
          <w:rFonts w:hint="eastAsia" w:ascii="仿宋_GB2312" w:eastAsia="仿宋_GB2312"/>
          <w:b/>
          <w:spacing w:val="0"/>
          <w:sz w:val="44"/>
          <w:lang w:val="en-GB"/>
        </w:rPr>
        <w:t>基本条款</w:t>
      </w:r>
    </w:p>
    <w:p>
      <w:pPr>
        <w:snapToGrid w:val="0"/>
        <w:spacing w:line="360" w:lineRule="auto"/>
        <w:ind w:firstLine="480" w:firstLineChars="200"/>
        <w:rPr>
          <w:rFonts w:ascii="仿宋_GB2312" w:eastAsia="仿宋_GB2312"/>
          <w:sz w:val="24"/>
        </w:rPr>
      </w:pPr>
      <w:r>
        <w:rPr>
          <w:rFonts w:hint="eastAsia" w:ascii="仿宋_GB2312" w:eastAsia="仿宋_GB2312"/>
          <w:sz w:val="24"/>
        </w:rPr>
        <w:t>根据《中华人民共和国民法典》及其他相关国家法律法规，</w:t>
      </w:r>
      <w:r>
        <w:rPr>
          <w:rFonts w:hint="eastAsia" w:ascii="仿宋_GB2312" w:eastAsia="仿宋_GB2312"/>
          <w:b w:val="0"/>
          <w:bCs/>
          <w:color w:val="auto"/>
          <w:sz w:val="24"/>
        </w:rPr>
        <w:t>甲乙双方经招标、投标并协商一致，就甲方委托乙方完成年度委外检测服务工作事宜达成如下协议</w:t>
      </w:r>
      <w:r>
        <w:rPr>
          <w:rFonts w:hint="eastAsia" w:ascii="仿宋_GB2312" w:eastAsia="仿宋_GB2312"/>
          <w:sz w:val="24"/>
        </w:rPr>
        <w:t>：</w:t>
      </w:r>
    </w:p>
    <w:p>
      <w:pPr>
        <w:snapToGrid w:val="0"/>
        <w:spacing w:line="360" w:lineRule="auto"/>
        <w:rPr>
          <w:rFonts w:ascii="仿宋_GB2312" w:eastAsia="仿宋_GB2312"/>
          <w:b/>
          <w:sz w:val="24"/>
        </w:rPr>
      </w:pPr>
      <w:r>
        <w:rPr>
          <w:rFonts w:hint="eastAsia" w:ascii="仿宋_GB2312" w:eastAsia="仿宋_GB2312"/>
          <w:b/>
          <w:sz w:val="24"/>
        </w:rPr>
        <w:t xml:space="preserve">    一、项目内容</w:t>
      </w:r>
    </w:p>
    <w:p>
      <w:pPr>
        <w:pStyle w:val="2"/>
        <w:ind w:firstLine="480" w:firstLineChars="200"/>
        <w:rPr>
          <w:rFonts w:ascii="仿宋" w:hAnsi="仿宋" w:eastAsia="仿宋"/>
          <w:b w:val="0"/>
          <w:bCs w:val="0"/>
          <w:color w:val="auto"/>
        </w:rPr>
      </w:pPr>
      <w:r>
        <w:rPr>
          <w:rFonts w:hint="eastAsia" w:ascii="仿宋" w:hAnsi="仿宋" w:eastAsia="仿宋"/>
          <w:b w:val="0"/>
          <w:bCs w:val="0"/>
          <w:color w:val="auto"/>
        </w:rPr>
        <w:t>1、检测内容及要求：详见招标文件第三部分《招标内容及项目要求》。</w:t>
      </w:r>
    </w:p>
    <w:p>
      <w:pPr>
        <w:rPr>
          <w:rFonts w:ascii="仿宋" w:hAnsi="仿宋" w:eastAsia="仿宋"/>
          <w:b/>
          <w:color w:val="FF0000"/>
          <w:sz w:val="24"/>
          <w:szCs w:val="24"/>
        </w:rPr>
      </w:pPr>
    </w:p>
    <w:p>
      <w:pPr>
        <w:snapToGrid w:val="0"/>
        <w:spacing w:line="360" w:lineRule="auto"/>
        <w:ind w:firstLine="465"/>
        <w:rPr>
          <w:rFonts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、服务期限：2021年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日至2022年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napToGrid w:val="0"/>
        <w:spacing w:line="360" w:lineRule="auto"/>
        <w:ind w:firstLine="465"/>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、合同价款</w:t>
      </w:r>
    </w:p>
    <w:p>
      <w:pPr>
        <w:snapToGrid w:val="0"/>
        <w:spacing w:line="360" w:lineRule="auto"/>
        <w:ind w:firstLine="228" w:firstLineChars="100"/>
        <w:rPr>
          <w:rFonts w:ascii="仿宋_GB2312" w:eastAsia="仿宋_GB2312"/>
          <w:b w:val="0"/>
          <w:bCs/>
          <w:color w:val="auto"/>
          <w:sz w:val="24"/>
        </w:rPr>
      </w:pPr>
      <w:r>
        <w:rPr>
          <w:rFonts w:hint="eastAsia" w:ascii="仿宋_GB2312" w:eastAsia="仿宋_GB2312"/>
          <w:spacing w:val="-6"/>
          <w:sz w:val="24"/>
        </w:rPr>
        <w:t>本合同检测费总额为￥</w:t>
      </w:r>
      <w:r>
        <w:rPr>
          <w:rFonts w:hint="eastAsia" w:ascii="仿宋_GB2312" w:eastAsia="仿宋_GB2312"/>
          <w:spacing w:val="-6"/>
          <w:sz w:val="24"/>
          <w:u w:val="single"/>
        </w:rPr>
        <w:t xml:space="preserve">     </w:t>
      </w:r>
      <w:r>
        <w:rPr>
          <w:rFonts w:hint="eastAsia" w:ascii="仿宋_GB2312" w:eastAsia="仿宋_GB2312"/>
          <w:spacing w:val="-6"/>
          <w:sz w:val="24"/>
        </w:rPr>
        <w:t>元，人民币（大写）</w:t>
      </w:r>
      <w:r>
        <w:rPr>
          <w:rFonts w:hint="eastAsia" w:ascii="仿宋_GB2312" w:eastAsia="仿宋_GB2312"/>
          <w:spacing w:val="-6"/>
          <w:sz w:val="24"/>
          <w:u w:val="single"/>
        </w:rPr>
        <w:t xml:space="preserve">     </w:t>
      </w:r>
      <w:r>
        <w:rPr>
          <w:rFonts w:hint="eastAsia" w:ascii="仿宋_GB2312" w:eastAsia="仿宋_GB2312"/>
          <w:spacing w:val="-6"/>
          <w:sz w:val="24"/>
        </w:rPr>
        <w:t>元整。在合同服务期限期间，乙方按照甲方实际需求进行服务，费用按照</w:t>
      </w:r>
      <w:r>
        <w:rPr>
          <w:rFonts w:hint="eastAsia" w:ascii="仿宋_GB2312" w:eastAsia="仿宋_GB2312"/>
          <w:bCs/>
          <w:spacing w:val="-6"/>
          <w:sz w:val="24"/>
        </w:rPr>
        <w:t>单价清单（详见附件）及</w:t>
      </w:r>
      <w:r>
        <w:rPr>
          <w:rFonts w:hint="eastAsia" w:ascii="仿宋_GB2312" w:eastAsia="仿宋_GB2312"/>
          <w:spacing w:val="-6"/>
          <w:sz w:val="24"/>
        </w:rPr>
        <w:t>实际服务次数进行付款。</w:t>
      </w:r>
      <w:r>
        <w:rPr>
          <w:rFonts w:hint="eastAsia" w:ascii="仿宋_GB2312" w:eastAsia="仿宋_GB2312"/>
          <w:b w:val="0"/>
          <w:bCs/>
          <w:color w:val="auto"/>
          <w:sz w:val="24"/>
        </w:rPr>
        <w:t>检测费每三个月结算一次，甲方按照收到正式报告的检测项目数量及乙方开具的增值税专用发票后，30日内向乙方支付服务费用。</w:t>
      </w:r>
    </w:p>
    <w:p>
      <w:pPr>
        <w:snapToGrid w:val="0"/>
        <w:spacing w:line="360" w:lineRule="auto"/>
        <w:ind w:firstLine="465"/>
        <w:rPr>
          <w:rFonts w:ascii="仿宋_GB2312" w:eastAsia="仿宋_GB2312"/>
          <w:spacing w:val="-6"/>
          <w:sz w:val="24"/>
        </w:rPr>
      </w:pPr>
    </w:p>
    <w:p>
      <w:pPr>
        <w:snapToGrid w:val="0"/>
        <w:spacing w:line="360" w:lineRule="auto"/>
        <w:ind w:firstLine="465"/>
        <w:rPr>
          <w:rFonts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、合同签订的同时，乙方应向甲方交纳</w:t>
      </w:r>
      <w:r>
        <w:rPr>
          <w:rFonts w:hint="eastAsia" w:ascii="仿宋_GB2312" w:eastAsia="仿宋_GB2312"/>
          <w:sz w:val="24"/>
          <w:u w:val="single"/>
        </w:rPr>
        <w:t xml:space="preserve">     </w:t>
      </w:r>
      <w:r>
        <w:rPr>
          <w:rFonts w:hint="eastAsia" w:ascii="仿宋_GB2312" w:eastAsia="仿宋_GB2312"/>
          <w:sz w:val="24"/>
        </w:rPr>
        <w:t>元作为履约保证金（合同总价的5%）。</w:t>
      </w:r>
    </w:p>
    <w:p>
      <w:pPr>
        <w:snapToGrid w:val="0"/>
        <w:spacing w:line="360" w:lineRule="auto"/>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5</w:t>
      </w:r>
      <w:r>
        <w:rPr>
          <w:rFonts w:hint="eastAsia" w:ascii="仿宋_GB2312" w:eastAsia="仿宋_GB2312"/>
          <w:sz w:val="24"/>
        </w:rPr>
        <w:t>、报告要求</w:t>
      </w:r>
    </w:p>
    <w:p>
      <w:pPr>
        <w:snapToGrid w:val="0"/>
        <w:spacing w:line="360" w:lineRule="auto"/>
        <w:ind w:firstLine="456" w:firstLineChars="200"/>
        <w:rPr>
          <w:rFonts w:ascii="仿宋_GB2312" w:eastAsia="仿宋_GB2312"/>
          <w:spacing w:val="-6"/>
          <w:sz w:val="24"/>
        </w:rPr>
      </w:pPr>
      <w:r>
        <w:rPr>
          <w:rFonts w:hint="eastAsia" w:ascii="仿宋_GB2312" w:eastAsia="仿宋_GB2312"/>
          <w:spacing w:val="-6"/>
          <w:sz w:val="24"/>
        </w:rPr>
        <w:t>采样由</w:t>
      </w:r>
      <w:r>
        <w:rPr>
          <w:rFonts w:hint="eastAsia" w:ascii="仿宋_GB2312" w:eastAsia="仿宋_GB2312"/>
          <w:spacing w:val="-6"/>
          <w:sz w:val="24"/>
          <w:u w:val="single"/>
        </w:rPr>
        <w:t xml:space="preserve"> 乙 </w:t>
      </w:r>
      <w:r>
        <w:rPr>
          <w:rFonts w:hint="eastAsia" w:ascii="仿宋_GB2312" w:eastAsia="仿宋_GB2312"/>
          <w:spacing w:val="-6"/>
          <w:sz w:val="24"/>
        </w:rPr>
        <w:t>方负责。在满足正常监测工作条件的情况下，每</w:t>
      </w:r>
      <w:r>
        <w:rPr>
          <w:rFonts w:hint="eastAsia" w:ascii="仿宋_GB2312" w:eastAsia="仿宋_GB2312"/>
          <w:b w:val="0"/>
          <w:bCs/>
          <w:color w:val="auto"/>
          <w:spacing w:val="-6"/>
          <w:sz w:val="24"/>
        </w:rPr>
        <w:t>次</w:t>
      </w:r>
      <w:r>
        <w:rPr>
          <w:rFonts w:hint="eastAsia" w:ascii="仿宋_GB2312" w:eastAsia="仿宋_GB2312"/>
          <w:spacing w:val="-6"/>
          <w:sz w:val="24"/>
        </w:rPr>
        <w:t>采样结束后，乙方出具相应的独立检测报告（加盖CMA章），包括一式两份的纸质检测报告及一份电子报告。电子报告需在</w:t>
      </w:r>
      <w:r>
        <w:rPr>
          <w:rFonts w:hint="eastAsia" w:ascii="仿宋_GB2312" w:eastAsia="仿宋_GB2312"/>
          <w:b w:val="0"/>
          <w:bCs/>
          <w:color w:val="auto"/>
          <w:spacing w:val="-6"/>
          <w:sz w:val="24"/>
        </w:rPr>
        <w:t>采样结束后</w:t>
      </w:r>
      <w:r>
        <w:rPr>
          <w:rFonts w:hint="eastAsia" w:ascii="仿宋_GB2312" w:eastAsia="仿宋_GB2312"/>
          <w:spacing w:val="-6"/>
          <w:sz w:val="24"/>
        </w:rPr>
        <w:t>当月月底前出具，书面报告（一式两份）需在次月5号前送达。</w:t>
      </w:r>
    </w:p>
    <w:p>
      <w:pPr>
        <w:snapToGrid w:val="0"/>
        <w:spacing w:line="360" w:lineRule="auto"/>
        <w:rPr>
          <w:rFonts w:ascii="仿宋_GB2312" w:eastAsia="仿宋_GB2312"/>
          <w:b/>
          <w:sz w:val="24"/>
        </w:rPr>
      </w:pPr>
      <w:r>
        <w:rPr>
          <w:rFonts w:hint="eastAsia" w:ascii="仿宋_GB2312" w:eastAsia="仿宋_GB2312"/>
          <w:sz w:val="24"/>
        </w:rPr>
        <w:t xml:space="preserve">   </w:t>
      </w:r>
      <w:r>
        <w:rPr>
          <w:rFonts w:hint="eastAsia" w:ascii="仿宋_GB2312" w:eastAsia="仿宋_GB2312"/>
          <w:b/>
          <w:sz w:val="24"/>
        </w:rPr>
        <w:t xml:space="preserve"> 二、双方的权利和义务</w:t>
      </w:r>
    </w:p>
    <w:p>
      <w:pPr>
        <w:snapToGrid w:val="0"/>
        <w:spacing w:line="360" w:lineRule="auto"/>
        <w:rPr>
          <w:rFonts w:ascii="仿宋_GB2312" w:eastAsia="仿宋_GB2312"/>
          <w:sz w:val="24"/>
        </w:rPr>
      </w:pPr>
      <w:r>
        <w:rPr>
          <w:rFonts w:hint="eastAsia" w:ascii="仿宋_GB2312" w:eastAsia="仿宋_GB2312"/>
          <w:sz w:val="24"/>
        </w:rPr>
        <w:t xml:space="preserve">    1、乙方必须对一切检测数据和检验结果保密，除法律规定外，未经甲方书面同意不得泄露给任何第三方。</w:t>
      </w:r>
    </w:p>
    <w:p>
      <w:pPr>
        <w:snapToGrid w:val="0"/>
        <w:spacing w:line="360" w:lineRule="auto"/>
        <w:ind w:firstLine="480"/>
        <w:rPr>
          <w:rFonts w:ascii="仿宋_GB2312" w:eastAsia="仿宋_GB2312"/>
          <w:sz w:val="24"/>
        </w:rPr>
      </w:pPr>
      <w:r>
        <w:rPr>
          <w:rFonts w:hint="eastAsia" w:ascii="仿宋_GB2312" w:eastAsia="仿宋_GB2312"/>
          <w:sz w:val="24"/>
        </w:rPr>
        <w:t>2、 乙方应按照国家和地方相关检验方法和标准，按甲方的要求完成分析测试任务并且</w:t>
      </w:r>
      <w:r>
        <w:rPr>
          <w:rFonts w:hint="eastAsia" w:ascii="仿宋_GB2312" w:eastAsia="仿宋_GB2312"/>
          <w:b w:val="0"/>
          <w:bCs/>
          <w:color w:val="auto"/>
          <w:sz w:val="24"/>
        </w:rPr>
        <w:t>向甲方</w:t>
      </w:r>
      <w:r>
        <w:rPr>
          <w:rFonts w:hint="eastAsia" w:ascii="仿宋_GB2312" w:eastAsia="仿宋_GB2312"/>
          <w:sz w:val="24"/>
        </w:rPr>
        <w:t>出具检测报告。</w:t>
      </w:r>
    </w:p>
    <w:p>
      <w:pPr>
        <w:snapToGrid w:val="0"/>
        <w:spacing w:line="360" w:lineRule="auto"/>
        <w:ind w:firstLine="480"/>
        <w:rPr>
          <w:rFonts w:ascii="仿宋_GB2312" w:eastAsia="仿宋_GB2312"/>
          <w:sz w:val="24"/>
        </w:rPr>
      </w:pPr>
      <w:r>
        <w:rPr>
          <w:rFonts w:hint="eastAsia" w:ascii="仿宋_GB2312" w:eastAsia="仿宋_GB2312"/>
          <w:b w:val="0"/>
          <w:bCs w:val="0"/>
          <w:color w:val="auto"/>
          <w:sz w:val="24"/>
        </w:rPr>
        <w:t>3、每次采样前，乙方应提前三天向甲方报备具体的采样人员名单；每次采样时，</w:t>
      </w:r>
      <w:r>
        <w:rPr>
          <w:rFonts w:hint="eastAsia" w:ascii="仿宋_GB2312" w:eastAsia="仿宋_GB2312"/>
          <w:sz w:val="24"/>
        </w:rPr>
        <w:t>乙方采样人员均应提前熟悉甲方采样点位。</w:t>
      </w:r>
    </w:p>
    <w:p>
      <w:pPr>
        <w:snapToGrid w:val="0"/>
        <w:spacing w:line="360" w:lineRule="auto"/>
        <w:ind w:firstLine="480" w:firstLineChars="200"/>
        <w:rPr>
          <w:rFonts w:ascii="仿宋_GB2312" w:eastAsia="仿宋_GB2312"/>
          <w:sz w:val="24"/>
        </w:rPr>
      </w:pPr>
      <w:r>
        <w:rPr>
          <w:rFonts w:hint="eastAsia" w:ascii="仿宋_GB2312" w:eastAsia="仿宋_GB2312"/>
          <w:sz w:val="24"/>
        </w:rPr>
        <w:t>4、服务期间，甲方为乙方提供如下条件：</w:t>
      </w:r>
    </w:p>
    <w:p>
      <w:pPr>
        <w:snapToGrid w:val="0"/>
        <w:spacing w:line="360" w:lineRule="auto"/>
        <w:rPr>
          <w:rFonts w:ascii="仿宋_GB2312" w:eastAsia="仿宋_GB2312"/>
          <w:sz w:val="24"/>
        </w:rPr>
      </w:pPr>
      <w:r>
        <w:rPr>
          <w:rFonts w:hint="eastAsia" w:ascii="仿宋_GB2312" w:eastAsia="仿宋_GB2312"/>
          <w:sz w:val="24"/>
        </w:rPr>
        <w:t xml:space="preserve">    （1）提供监测对象及服务项目相关资料、信息等；</w:t>
      </w:r>
    </w:p>
    <w:p>
      <w:pPr>
        <w:snapToGrid w:val="0"/>
        <w:spacing w:line="360" w:lineRule="auto"/>
        <w:ind w:firstLine="465"/>
        <w:rPr>
          <w:rFonts w:ascii="仿宋_GB2312" w:eastAsia="仿宋_GB2312"/>
          <w:sz w:val="24"/>
        </w:rPr>
      </w:pPr>
      <w:r>
        <w:rPr>
          <w:rFonts w:hint="eastAsia" w:ascii="仿宋_GB2312" w:eastAsia="仿宋_GB2312"/>
          <w:sz w:val="24"/>
        </w:rPr>
        <w:t>（2）提供监测服务所需工况、场地、设施、安全条件和其他工作条件等。</w:t>
      </w:r>
    </w:p>
    <w:p>
      <w:pPr>
        <w:snapToGrid w:val="0"/>
        <w:spacing w:line="360" w:lineRule="auto"/>
        <w:rPr>
          <w:rFonts w:ascii="仿宋_GB2312" w:eastAsia="仿宋_GB2312"/>
          <w:sz w:val="24"/>
        </w:rPr>
      </w:pPr>
      <w:r>
        <w:rPr>
          <w:rFonts w:hint="eastAsia" w:ascii="仿宋_GB2312" w:eastAsia="仿宋_GB2312"/>
          <w:sz w:val="24"/>
        </w:rPr>
        <w:t xml:space="preserve">    5、甲方应按照乙方要求提交与检验有关方面的材料及必要的检测依据或文本，并确保在检测期间工况正常符合国家相关要求。同时，对于加测和复检项目，甲方应书面告知给乙方。</w:t>
      </w:r>
    </w:p>
    <w:p>
      <w:pPr>
        <w:snapToGrid w:val="0"/>
        <w:spacing w:line="360" w:lineRule="auto"/>
        <w:rPr>
          <w:rFonts w:ascii="仿宋_GB2312" w:eastAsia="仿宋_GB2312"/>
          <w:sz w:val="24"/>
        </w:rPr>
      </w:pPr>
      <w:r>
        <w:rPr>
          <w:rFonts w:hint="eastAsia" w:ascii="仿宋_GB2312" w:eastAsia="仿宋_GB2312"/>
          <w:sz w:val="24"/>
        </w:rPr>
        <w:t xml:space="preserve">    6、甲方对检验结果若有异议，可于收到《检测报告》之日起十五日内向乙方提出复检。复检结果如甲方的异议成立的，复检费用由乙方承担；甲方的异议不成立的，复检费用由甲方承担。</w:t>
      </w:r>
    </w:p>
    <w:p>
      <w:pPr>
        <w:snapToGrid w:val="0"/>
        <w:spacing w:line="360" w:lineRule="auto"/>
        <w:ind w:firstLine="480"/>
        <w:rPr>
          <w:rFonts w:ascii="仿宋_GB2312" w:eastAsia="仿宋_GB2312"/>
          <w:b/>
          <w:sz w:val="24"/>
        </w:rPr>
      </w:pPr>
      <w:r>
        <w:rPr>
          <w:rFonts w:hint="eastAsia" w:ascii="仿宋_GB2312" w:eastAsia="仿宋_GB2312"/>
          <w:sz w:val="24"/>
        </w:rPr>
        <w:t>7、甲方因特殊情况，需应急检测服务，乙方须立即响应，并在4小时内赶到现场开展采样检测工作。</w:t>
      </w:r>
    </w:p>
    <w:p>
      <w:pPr>
        <w:snapToGrid w:val="0"/>
        <w:spacing w:line="360" w:lineRule="auto"/>
        <w:rPr>
          <w:rFonts w:ascii="仿宋_GB2312" w:eastAsia="仿宋_GB2312"/>
          <w:b/>
          <w:sz w:val="24"/>
        </w:rPr>
      </w:pPr>
      <w:r>
        <w:rPr>
          <w:rFonts w:hint="eastAsia" w:ascii="仿宋_GB2312" w:eastAsia="仿宋_GB2312"/>
          <w:sz w:val="24"/>
        </w:rPr>
        <w:t xml:space="preserve">   </w:t>
      </w:r>
      <w:r>
        <w:rPr>
          <w:rFonts w:hint="eastAsia" w:ascii="仿宋_GB2312" w:eastAsia="仿宋_GB2312"/>
          <w:b/>
          <w:sz w:val="24"/>
        </w:rPr>
        <w:t xml:space="preserve"> 三、违约责任</w:t>
      </w:r>
    </w:p>
    <w:p>
      <w:pPr>
        <w:snapToGrid w:val="0"/>
        <w:spacing w:line="360" w:lineRule="auto"/>
        <w:rPr>
          <w:rFonts w:ascii="仿宋_GB2312" w:eastAsia="仿宋_GB2312"/>
          <w:sz w:val="24"/>
        </w:rPr>
      </w:pPr>
      <w:r>
        <w:rPr>
          <w:rFonts w:hint="eastAsia" w:ascii="仿宋_GB2312" w:eastAsia="仿宋_GB2312"/>
          <w:sz w:val="24"/>
        </w:rPr>
        <w:t xml:space="preserve">    1、由于乙方过错导致某样品的某检测项目的检测结果超过正常误差范围</w:t>
      </w:r>
      <w:r>
        <w:rPr>
          <w:rFonts w:hint="eastAsia" w:ascii="仿宋_GB2312" w:eastAsia="仿宋_GB2312"/>
          <w:b w:val="0"/>
          <w:bCs/>
          <w:color w:val="auto"/>
          <w:sz w:val="24"/>
        </w:rPr>
        <w:t>的</w:t>
      </w:r>
      <w:r>
        <w:rPr>
          <w:rFonts w:hint="eastAsia" w:ascii="仿宋_GB2312" w:eastAsia="仿宋_GB2312"/>
          <w:sz w:val="24"/>
        </w:rPr>
        <w:t>，乙方</w:t>
      </w:r>
      <w:r>
        <w:rPr>
          <w:rFonts w:hint="eastAsia" w:ascii="仿宋_GB2312" w:eastAsia="仿宋_GB2312"/>
          <w:b w:val="0"/>
          <w:bCs/>
          <w:color w:val="auto"/>
          <w:sz w:val="24"/>
        </w:rPr>
        <w:t>应按</w:t>
      </w:r>
      <w:r>
        <w:rPr>
          <w:rFonts w:hint="eastAsia" w:ascii="仿宋_GB2312" w:eastAsia="仿宋_GB2312"/>
          <w:sz w:val="24"/>
        </w:rPr>
        <w:t>此样品此检测项目的二倍检测费用</w:t>
      </w:r>
      <w:r>
        <w:rPr>
          <w:rFonts w:hint="eastAsia" w:ascii="仿宋_GB2312" w:eastAsia="仿宋_GB2312"/>
          <w:b w:val="0"/>
          <w:bCs/>
          <w:color w:val="auto"/>
          <w:sz w:val="24"/>
        </w:rPr>
        <w:t>的标准</w:t>
      </w:r>
      <w:r>
        <w:rPr>
          <w:rFonts w:hint="eastAsia" w:ascii="仿宋_GB2312" w:eastAsia="仿宋_GB2312"/>
          <w:sz w:val="24"/>
        </w:rPr>
        <w:t>赔偿给甲方。</w:t>
      </w:r>
    </w:p>
    <w:p>
      <w:pPr>
        <w:snapToGrid w:val="0"/>
        <w:spacing w:line="360" w:lineRule="auto"/>
        <w:rPr>
          <w:rFonts w:ascii="仿宋_GB2312" w:eastAsia="仿宋_GB2312"/>
          <w:sz w:val="24"/>
        </w:rPr>
      </w:pPr>
      <w:r>
        <w:rPr>
          <w:rFonts w:hint="eastAsia" w:ascii="仿宋_GB2312" w:eastAsia="仿宋_GB2312"/>
          <w:sz w:val="24"/>
        </w:rPr>
        <w:t xml:space="preserve">    2、在任何情况下，任何一方均不承担附带的、特殊的、间接的、结果性的或惩罚性的赔偿，不论是合同关系或侵权关系，包括但不限于利润损失或收入减少。</w:t>
      </w:r>
    </w:p>
    <w:p>
      <w:pPr>
        <w:snapToGrid w:val="0"/>
        <w:spacing w:line="360" w:lineRule="auto"/>
        <w:rPr>
          <w:rFonts w:ascii="仿宋_GB2312" w:eastAsia="仿宋_GB2312"/>
          <w:sz w:val="24"/>
        </w:rPr>
      </w:pPr>
      <w:r>
        <w:rPr>
          <w:rFonts w:hint="eastAsia" w:ascii="仿宋_GB2312" w:eastAsia="仿宋_GB2312"/>
          <w:sz w:val="24"/>
        </w:rPr>
        <w:t xml:space="preserve">    3、乙方未按合同约定的期限向甲方提交检测报告（包括纸质报告及电子报告）的，每逾期一天，应按</w:t>
      </w:r>
      <w:r>
        <w:rPr>
          <w:rFonts w:hint="eastAsia" w:ascii="仿宋_GB2312" w:eastAsia="仿宋_GB2312"/>
          <w:b w:val="0"/>
          <w:bCs/>
          <w:color w:val="auto"/>
          <w:sz w:val="24"/>
        </w:rPr>
        <w:t>该检测项目合同总价的0.2%向甲方</w:t>
      </w:r>
      <w:r>
        <w:rPr>
          <w:rFonts w:hint="eastAsia" w:ascii="仿宋_GB2312" w:eastAsia="仿宋_GB2312"/>
          <w:sz w:val="24"/>
        </w:rPr>
        <w:t>承担违约金。甲方未按合同约定的期限向乙方支付检测费用的，每逾期一天，应按应付金额的0.2%承担违约金。</w:t>
      </w:r>
    </w:p>
    <w:p>
      <w:pPr>
        <w:snapToGrid w:val="0"/>
        <w:spacing w:line="360" w:lineRule="auto"/>
        <w:ind w:firstLine="480"/>
        <w:rPr>
          <w:rFonts w:ascii="仿宋_GB2312" w:eastAsia="仿宋_GB2312"/>
          <w:sz w:val="24"/>
        </w:rPr>
      </w:pPr>
      <w:r>
        <w:rPr>
          <w:rFonts w:hint="eastAsia" w:ascii="仿宋_GB2312" w:eastAsia="仿宋_GB2312"/>
          <w:sz w:val="24"/>
        </w:rPr>
        <w:t>4、乙方如不能及时响应甲方临时应急检测服务，视作违约，每次甲方有权扣除1000元违约金。</w:t>
      </w:r>
    </w:p>
    <w:p>
      <w:pPr>
        <w:snapToGrid w:val="0"/>
        <w:spacing w:line="360" w:lineRule="auto"/>
        <w:ind w:firstLine="480"/>
        <w:rPr>
          <w:rFonts w:ascii="仿宋_GB2312" w:eastAsia="仿宋_GB2312"/>
          <w:sz w:val="24"/>
        </w:rPr>
      </w:pPr>
      <w:r>
        <w:rPr>
          <w:rFonts w:hint="eastAsia" w:ascii="仿宋_GB2312" w:eastAsia="仿宋_GB2312"/>
          <w:sz w:val="24"/>
        </w:rPr>
        <w:t>5、乙方无正当理由拒不履行合同义务的，应按合同价款的20%承担违约金，甲方并有权解除合同。</w:t>
      </w:r>
    </w:p>
    <w:p>
      <w:pPr>
        <w:spacing w:line="360" w:lineRule="auto"/>
        <w:ind w:firstLine="523" w:firstLineChars="217"/>
        <w:rPr>
          <w:rFonts w:ascii="仿宋_GB2312" w:hAnsi="宋体" w:eastAsia="仿宋_GB2312"/>
          <w:b/>
          <w:sz w:val="24"/>
        </w:rPr>
      </w:pPr>
      <w:r>
        <w:rPr>
          <w:rFonts w:hint="eastAsia" w:ascii="仿宋_GB2312" w:hAnsi="宋体" w:eastAsia="仿宋_GB2312"/>
          <w:b/>
          <w:sz w:val="24"/>
        </w:rPr>
        <w:t>四、争议的解决</w:t>
      </w:r>
    </w:p>
    <w:p>
      <w:pPr>
        <w:spacing w:line="360" w:lineRule="auto"/>
        <w:ind w:firstLine="520" w:firstLineChars="217"/>
        <w:rPr>
          <w:rFonts w:ascii="仿宋_GB2312" w:hAnsi="宋体" w:eastAsia="仿宋_GB2312"/>
          <w:sz w:val="24"/>
        </w:rPr>
      </w:pPr>
      <w:r>
        <w:rPr>
          <w:rFonts w:hint="eastAsia" w:ascii="仿宋_GB2312" w:hAnsi="宋体" w:eastAsia="仿宋_GB2312"/>
          <w:sz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rPr>
      </w:pPr>
      <w:r>
        <w:rPr>
          <w:rFonts w:hint="eastAsia" w:ascii="仿宋_GB2312" w:hAnsi="宋体" w:eastAsia="仿宋_GB2312"/>
          <w:sz w:val="24"/>
        </w:rPr>
        <w:t>2、在履行本合同过程中如发生纠纷,甲、乙双方应及时协商解决，如协商不成，双方均有权向甲方住所地法院诉讼解决。</w:t>
      </w:r>
    </w:p>
    <w:p>
      <w:pPr>
        <w:spacing w:line="360" w:lineRule="auto"/>
        <w:ind w:firstLine="523" w:firstLineChars="217"/>
        <w:rPr>
          <w:rFonts w:ascii="仿宋_GB2312" w:hAnsi="宋体" w:eastAsia="仿宋_GB2312"/>
          <w:b/>
          <w:sz w:val="24"/>
        </w:rPr>
      </w:pPr>
      <w:r>
        <w:rPr>
          <w:rFonts w:hint="eastAsia" w:ascii="仿宋_GB2312" w:hAnsi="宋体" w:eastAsia="仿宋_GB2312"/>
          <w:b/>
          <w:sz w:val="24"/>
        </w:rPr>
        <w:t>五、合同的生效。</w:t>
      </w:r>
    </w:p>
    <w:p>
      <w:pPr>
        <w:spacing w:line="360" w:lineRule="auto"/>
        <w:ind w:firstLine="520" w:firstLineChars="217"/>
        <w:rPr>
          <w:rFonts w:ascii="仿宋_GB2312" w:hAnsi="宋体" w:eastAsia="仿宋_GB2312"/>
          <w:sz w:val="24"/>
        </w:rPr>
      </w:pPr>
      <w:r>
        <w:rPr>
          <w:rFonts w:hint="eastAsia" w:ascii="仿宋_GB2312" w:hAnsi="宋体" w:eastAsia="仿宋_GB2312"/>
          <w:sz w:val="24"/>
        </w:rPr>
        <w:t>1、本合同经甲、乙双方法定代表人或</w:t>
      </w:r>
      <w:r>
        <w:rPr>
          <w:rFonts w:ascii="仿宋_GB2312" w:eastAsia="仿宋_GB2312"/>
          <w:sz w:val="24"/>
        </w:rPr>
        <w:t>受</w:t>
      </w:r>
      <w:r>
        <w:rPr>
          <w:rFonts w:hint="eastAsia" w:ascii="仿宋_GB2312" w:hAnsi="宋体" w:eastAsia="仿宋_GB2312"/>
          <w:sz w:val="24"/>
        </w:rPr>
        <w:t>委托人签字盖章后生效。招标文件、投标文件及招标过程中有关澄清文件、承诺书等，以及合同附件均为本合同的组成部分，与本合同具有同等效力。</w:t>
      </w:r>
    </w:p>
    <w:p>
      <w:pPr>
        <w:ind w:firstLine="480" w:firstLineChars="200"/>
      </w:pPr>
      <w:r>
        <w:rPr>
          <w:rFonts w:hint="eastAsia" w:ascii="仿宋_GB2312" w:hAnsi="宋体" w:eastAsia="仿宋_GB2312"/>
          <w:sz w:val="24"/>
        </w:rPr>
        <w:t>2、本合同一式陆份，甲方、乙方各执叁份。</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w:t>
      </w:r>
    </w:p>
    <w:p>
      <w:r>
        <w:rPr>
          <w:rFonts w:hint="eastAsia" w:ascii="等线 Light" w:eastAsia="等线 Light"/>
          <w:b/>
          <w:bCs/>
          <w:caps/>
          <w:sz w:val="24"/>
          <w:szCs w:val="24"/>
        </w:rPr>
        <w:t xml:space="preserve">   </w:t>
      </w:r>
      <w:r>
        <w:rPr>
          <w:rFonts w:hint="eastAsia" w:ascii="等线 Light" w:eastAsia="等线 Light"/>
          <w:b/>
          <w:bCs/>
          <w:caps/>
          <w:color w:val="auto"/>
          <w:sz w:val="24"/>
          <w:szCs w:val="24"/>
        </w:rPr>
        <w:t xml:space="preserve"> 合同附件：（注：即单价清单，）</w:t>
      </w:r>
    </w:p>
    <w:p>
      <w:pPr>
        <w:spacing w:line="360" w:lineRule="auto"/>
        <w:ind w:firstLine="723" w:firstLineChars="200"/>
        <w:rPr>
          <w:rStyle w:val="13"/>
          <w:rFonts w:eastAsia="仿宋_GB2312"/>
          <w:spacing w:val="0"/>
          <w:sz w:val="44"/>
        </w:rPr>
      </w:pPr>
      <w:bookmarkStart w:id="44" w:name="_Toc473012597"/>
      <w:bookmarkStart w:id="45" w:name="_Toc509229876"/>
      <w:r>
        <w:rPr>
          <w:rStyle w:val="13"/>
          <w:rFonts w:eastAsia="黑体"/>
          <w:spacing w:val="0"/>
          <w:sz w:val="36"/>
        </w:rPr>
        <w:br w:type="page"/>
      </w:r>
      <w:bookmarkEnd w:id="44"/>
      <w:bookmarkEnd w:id="45"/>
    </w:p>
    <w:p>
      <w:pPr>
        <w:pStyle w:val="8"/>
        <w:spacing w:line="360" w:lineRule="auto"/>
        <w:rPr>
          <w:rStyle w:val="13"/>
          <w:rFonts w:ascii="仿宋_GB2312" w:eastAsia="仿宋_GB2312"/>
          <w:b/>
          <w:bCs w:val="0"/>
          <w:color w:val="auto"/>
          <w:sz w:val="44"/>
          <w:szCs w:val="44"/>
        </w:rPr>
      </w:pPr>
      <w:r>
        <w:rPr>
          <w:rStyle w:val="13"/>
          <w:rFonts w:hint="eastAsia" w:ascii="仿宋_GB2312" w:eastAsia="仿宋_GB2312"/>
          <w:b/>
          <w:bCs w:val="0"/>
          <w:color w:val="auto"/>
          <w:sz w:val="44"/>
          <w:szCs w:val="44"/>
        </w:rPr>
        <w:t>第五部分  投标文件格式</w:t>
      </w:r>
    </w:p>
    <w:p>
      <w:pPr>
        <w:pStyle w:val="8"/>
        <w:spacing w:line="360" w:lineRule="auto"/>
        <w:jc w:val="both"/>
        <w:rPr>
          <w:rStyle w:val="13"/>
          <w:rFonts w:ascii="仿宋_GB2312" w:eastAsia="仿宋_GB2312"/>
          <w:b/>
          <w:sz w:val="30"/>
        </w:rPr>
      </w:pPr>
    </w:p>
    <w:p>
      <w:pPr>
        <w:pStyle w:val="8"/>
        <w:spacing w:line="360" w:lineRule="auto"/>
        <w:jc w:val="both"/>
        <w:rPr>
          <w:rStyle w:val="13"/>
          <w:rFonts w:ascii="仿宋_GB2312" w:eastAsia="仿宋_GB2312"/>
          <w:b/>
          <w:sz w:val="30"/>
        </w:rPr>
      </w:pPr>
    </w:p>
    <w:p>
      <w:pPr>
        <w:pStyle w:val="8"/>
        <w:spacing w:line="360" w:lineRule="auto"/>
        <w:jc w:val="both"/>
        <w:rPr>
          <w:sz w:val="32"/>
        </w:rPr>
      </w:pPr>
      <w:r>
        <w:rPr>
          <w:rStyle w:val="13"/>
          <w:rFonts w:hint="eastAsia" w:ascii="仿宋_GB2312" w:eastAsia="仿宋_GB2312"/>
          <w:b/>
          <w:sz w:val="30"/>
        </w:rPr>
        <w:t>附件一</w:t>
      </w:r>
      <w:r>
        <w:rPr>
          <w:rFonts w:hint="eastAsia"/>
          <w:sz w:val="32"/>
        </w:rPr>
        <w:t xml:space="preserve"> </w:t>
      </w:r>
      <w:r>
        <w:rPr>
          <w:rFonts w:hint="eastAsia"/>
          <w:sz w:val="28"/>
        </w:rPr>
        <w:t xml:space="preserve">                                             </w:t>
      </w:r>
      <w:r>
        <w:rPr>
          <w:rFonts w:hint="eastAsia"/>
          <w:sz w:val="32"/>
        </w:rPr>
        <w:t>正（副）本</w:t>
      </w:r>
    </w:p>
    <w:p>
      <w:pPr>
        <w:rPr>
          <w:sz w:val="44"/>
        </w:rPr>
      </w:pPr>
    </w:p>
    <w:p>
      <w:pPr>
        <w:jc w:val="center"/>
        <w:rPr>
          <w:rFonts w:ascii="仿宋_GB2312" w:hAnsi="仿宋" w:eastAsia="仿宋_GB2312"/>
          <w:b/>
          <w:sz w:val="48"/>
          <w:szCs w:val="48"/>
        </w:rPr>
      </w:pPr>
      <w:r>
        <w:rPr>
          <w:rFonts w:hint="eastAsia" w:ascii="仿宋_GB2312" w:hAnsi="仿宋" w:eastAsia="仿宋_GB2312"/>
          <w:b/>
          <w:sz w:val="48"/>
          <w:szCs w:val="48"/>
        </w:rPr>
        <w:t>(项目名称)项目</w:t>
      </w:r>
    </w:p>
    <w:p>
      <w:pPr>
        <w:spacing w:line="360" w:lineRule="auto"/>
        <w:jc w:val="center"/>
        <w:rPr>
          <w:rFonts w:ascii="仿宋_GB2312" w:hAnsi="仿宋" w:eastAsia="仿宋_GB2312"/>
          <w:sz w:val="40"/>
          <w:szCs w:val="48"/>
        </w:rPr>
      </w:pPr>
      <w:r>
        <w:rPr>
          <w:rFonts w:hint="eastAsia" w:ascii="仿宋_GB2312" w:hAnsi="仿宋" w:eastAsia="仿宋_GB2312"/>
          <w:sz w:val="40"/>
          <w:szCs w:val="48"/>
        </w:rPr>
        <w:t>招标编号：</w:t>
      </w:r>
    </w:p>
    <w:p>
      <w:pPr>
        <w:jc w:val="center"/>
        <w:rPr>
          <w:rFonts w:ascii="宋体" w:hAnsi="宋体"/>
          <w:sz w:val="44"/>
        </w:rPr>
      </w:pPr>
    </w:p>
    <w:p>
      <w:pPr>
        <w:jc w:val="center"/>
        <w:rPr>
          <w:rFonts w:ascii="宋体" w:hAnsi="宋体"/>
          <w:sz w:val="44"/>
        </w:rPr>
      </w:pPr>
      <w:r>
        <w:rPr>
          <w:rFonts w:hint="eastAsia" w:ascii="宋体" w:hAnsi="宋体"/>
          <w:sz w:val="44"/>
        </w:rPr>
        <w:t>投标</w:t>
      </w:r>
      <w:r>
        <w:rPr>
          <w:rFonts w:ascii="宋体" w:hAnsi="宋体"/>
          <w:sz w:val="44"/>
        </w:rPr>
        <w:t>文件</w:t>
      </w:r>
    </w:p>
    <w:p>
      <w:pPr>
        <w:rPr>
          <w:sz w:val="84"/>
        </w:rPr>
      </w:pPr>
      <w:r>
        <w:rPr>
          <w:rFonts w:hint="eastAsia" w:ascii="宋体" w:hAnsi="宋体"/>
          <w:sz w:val="44"/>
        </w:rPr>
        <w:t xml:space="preserve">             </w:t>
      </w:r>
    </w:p>
    <w:p>
      <w:pPr>
        <w:jc w:val="center"/>
        <w:rPr>
          <w:sz w:val="84"/>
        </w:rPr>
      </w:pPr>
    </w:p>
    <w:p>
      <w:pPr>
        <w:jc w:val="center"/>
        <w:rPr>
          <w:sz w:val="84"/>
        </w:rPr>
      </w:pPr>
    </w:p>
    <w:p>
      <w:pPr>
        <w:jc w:val="center"/>
        <w:rPr>
          <w:sz w:val="84"/>
        </w:rPr>
      </w:pPr>
    </w:p>
    <w:p>
      <w:pPr>
        <w:jc w:val="center"/>
        <w:rPr>
          <w:sz w:val="24"/>
        </w:rPr>
      </w:pPr>
    </w:p>
    <w:p>
      <w:pPr>
        <w:jc w:val="center"/>
        <w:rPr>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ascii="宋体" w:hAnsi="宋体"/>
          <w:sz w:val="36"/>
        </w:rPr>
      </w:pPr>
      <w:r>
        <w:rPr>
          <w:rFonts w:ascii="宋体" w:hAnsi="宋体"/>
          <w:sz w:val="36"/>
        </w:rPr>
        <w:t>202</w:t>
      </w:r>
      <w:r>
        <w:rPr>
          <w:rFonts w:hint="eastAsia" w:ascii="宋体" w:hAnsi="宋体"/>
          <w:sz w:val="36"/>
        </w:rPr>
        <w:t>1年  月  日</w:t>
      </w:r>
    </w:p>
    <w:p>
      <w:pPr>
        <w:spacing w:line="480" w:lineRule="auto"/>
        <w:jc w:val="left"/>
        <w:rPr>
          <w:rStyle w:val="13"/>
          <w:sz w:val="30"/>
        </w:rPr>
      </w:pPr>
    </w:p>
    <w:p>
      <w:pPr>
        <w:spacing w:line="480" w:lineRule="auto"/>
        <w:jc w:val="left"/>
        <w:rPr>
          <w:rStyle w:val="13"/>
          <w:rFonts w:ascii="仿宋_GB2312" w:eastAsia="仿宋_GB2312"/>
          <w:sz w:val="30"/>
        </w:rPr>
      </w:pP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w:t>
      </w:r>
      <w:r>
        <w:rPr>
          <w:rFonts w:ascii="elix Titling" w:hAnsi="elix Titling" w:eastAsia="仿宋"/>
          <w:b/>
          <w:spacing w:val="40"/>
          <w:sz w:val="36"/>
        </w:rPr>
        <w:t xml:space="preserve"> </w:t>
      </w:r>
      <w:r>
        <w:rPr>
          <w:rFonts w:ascii="elix Titling" w:hAnsi="仿宋" w:eastAsia="仿宋"/>
          <w:b/>
          <w:spacing w:val="40"/>
          <w:sz w:val="36"/>
        </w:rPr>
        <w:t>标</w:t>
      </w:r>
      <w:r>
        <w:rPr>
          <w:rFonts w:ascii="elix Titling" w:hAnsi="elix Titling" w:eastAsia="仿宋"/>
          <w:b/>
          <w:spacing w:val="40"/>
          <w:sz w:val="36"/>
        </w:rPr>
        <w:t xml:space="preserve"> </w:t>
      </w:r>
      <w:r>
        <w:rPr>
          <w:rFonts w:ascii="elix Titling" w:hAnsi="仿宋" w:eastAsia="仿宋"/>
          <w:b/>
          <w:spacing w:val="40"/>
          <w:sz w:val="36"/>
        </w:rPr>
        <w:t>响</w:t>
      </w:r>
      <w:r>
        <w:rPr>
          <w:rFonts w:ascii="elix Titling" w:hAnsi="elix Titling" w:eastAsia="仿宋"/>
          <w:b/>
          <w:spacing w:val="40"/>
          <w:sz w:val="36"/>
        </w:rPr>
        <w:t xml:space="preserve"> </w:t>
      </w:r>
      <w:r>
        <w:rPr>
          <w:rFonts w:ascii="elix Titling" w:hAnsi="仿宋" w:eastAsia="仿宋"/>
          <w:b/>
          <w:spacing w:val="40"/>
          <w:sz w:val="36"/>
        </w:rPr>
        <w:t>应</w:t>
      </w:r>
      <w:r>
        <w:rPr>
          <w:rFonts w:ascii="elix Titling" w:hAnsi="elix Titling" w:eastAsia="仿宋"/>
          <w:b/>
          <w:spacing w:val="40"/>
          <w:sz w:val="36"/>
        </w:rPr>
        <w:t xml:space="preserve"> </w:t>
      </w:r>
      <w:r>
        <w:rPr>
          <w:rFonts w:ascii="elix Titling" w:hAnsi="仿宋" w:eastAsia="仿宋"/>
          <w:b/>
          <w:spacing w:val="40"/>
          <w:sz w:val="36"/>
        </w:rPr>
        <w:t>函</w:t>
      </w:r>
    </w:p>
    <w:p>
      <w:pPr>
        <w:spacing w:line="360" w:lineRule="auto"/>
        <w:jc w:val="left"/>
        <w:rPr>
          <w:rFonts w:ascii="仿宋_GB2312" w:eastAsia="仿宋_GB2312"/>
          <w:sz w:val="24"/>
          <w:szCs w:val="24"/>
        </w:rPr>
      </w:pPr>
      <w:r>
        <w:rPr>
          <w:rFonts w:hint="eastAsia" w:ascii="仿宋_GB2312" w:eastAsia="仿宋_GB2312"/>
          <w:sz w:val="24"/>
          <w:szCs w:val="24"/>
        </w:rPr>
        <w:t>杭州临江环境能源有限公司：</w:t>
      </w:r>
    </w:p>
    <w:p>
      <w:pPr>
        <w:spacing w:line="360" w:lineRule="auto"/>
        <w:jc w:val="left"/>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u w:val="single"/>
        </w:rPr>
        <w:t xml:space="preserve">                      </w:t>
      </w:r>
      <w:r>
        <w:rPr>
          <w:rFonts w:hint="eastAsia" w:ascii="仿宋_GB2312" w:eastAsia="仿宋_GB2312"/>
          <w:sz w:val="24"/>
          <w:szCs w:val="24"/>
        </w:rPr>
        <w:t>(投标人全称)授权</w:t>
      </w:r>
      <w:r>
        <w:rPr>
          <w:rFonts w:hint="eastAsia" w:ascii="仿宋_GB2312" w:eastAsia="仿宋_GB2312"/>
          <w:sz w:val="24"/>
          <w:szCs w:val="24"/>
          <w:u w:val="single"/>
        </w:rPr>
        <w:t xml:space="preserve">       </w:t>
      </w:r>
      <w:r>
        <w:rPr>
          <w:rFonts w:hint="eastAsia" w:ascii="仿宋_GB2312" w:eastAsia="仿宋_GB2312"/>
          <w:sz w:val="24"/>
          <w:szCs w:val="24"/>
        </w:rPr>
        <w:t>（全名、职务、身份证号码）为全权代表，参加贵方组织的</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2021年</w:t>
      </w:r>
      <w:r>
        <w:rPr>
          <w:rFonts w:hint="eastAsia" w:ascii="仿宋_GB2312" w:hAnsi="宋体" w:eastAsia="仿宋_GB2312"/>
          <w:sz w:val="24"/>
          <w:szCs w:val="24"/>
          <w:u w:val="single"/>
        </w:rPr>
        <w:t>临江公司三固项目年度委外检测服务</w:t>
      </w:r>
      <w:r>
        <w:rPr>
          <w:rFonts w:hint="eastAsia" w:ascii="仿宋_GB2312" w:eastAsia="仿宋_GB2312"/>
          <w:sz w:val="24"/>
          <w:szCs w:val="24"/>
          <w:u w:val="single"/>
        </w:rPr>
        <w:t xml:space="preserve">   </w:t>
      </w:r>
      <w:r>
        <w:rPr>
          <w:rFonts w:hint="eastAsia" w:ascii="仿宋_GB2312" w:eastAsia="仿宋_GB2312"/>
          <w:sz w:val="24"/>
          <w:szCs w:val="24"/>
        </w:rPr>
        <w:t>（招标项目名称）编号为</w:t>
      </w:r>
      <w:r>
        <w:rPr>
          <w:rFonts w:ascii="仿宋_GB2312" w:hAnsi="仿宋_GB2312" w:eastAsia="仿宋_GB2312" w:cs="仿宋_GB2312"/>
          <w:sz w:val="24"/>
          <w:szCs w:val="24"/>
        </w:rPr>
        <w:t xml:space="preserve"> </w:t>
      </w:r>
      <w:r>
        <w:rPr>
          <w:rFonts w:hint="eastAsia" w:ascii="仿宋_GB2312" w:eastAsia="仿宋_GB2312"/>
          <w:sz w:val="24"/>
          <w:szCs w:val="24"/>
          <w:u w:val="single"/>
        </w:rPr>
        <w:t xml:space="preserve">           </w:t>
      </w:r>
      <w:r>
        <w:rPr>
          <w:rFonts w:ascii="仿宋_GB2312" w:hAnsi="仿宋_GB2312" w:eastAsia="仿宋_GB2312" w:cs="仿宋_GB2312"/>
          <w:sz w:val="24"/>
          <w:szCs w:val="24"/>
        </w:rPr>
        <w:t xml:space="preserve"> </w:t>
      </w:r>
      <w:r>
        <w:rPr>
          <w:rFonts w:hint="eastAsia" w:ascii="仿宋_GB2312" w:eastAsia="仿宋_GB2312"/>
          <w:sz w:val="24"/>
          <w:szCs w:val="24"/>
        </w:rPr>
        <w:t>招标活动并投标。为此：</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1、我单位已详细审查全部招标文件，同意投标文件的各项要求。</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3、若中标，我单位将按招标文件规定履行合同责任和义务。</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4、我单位投标文件自开标日起有效期为</w:t>
      </w:r>
      <w:r>
        <w:rPr>
          <w:rFonts w:hint="eastAsia" w:ascii="仿宋_GB2312" w:eastAsia="仿宋_GB2312"/>
          <w:sz w:val="24"/>
          <w:szCs w:val="24"/>
          <w:u w:val="single"/>
        </w:rPr>
        <w:t xml:space="preserve"> 60 </w:t>
      </w:r>
      <w:r>
        <w:rPr>
          <w:rFonts w:hint="eastAsia" w:ascii="仿宋_GB2312" w:eastAsia="仿宋_GB2312"/>
          <w:sz w:val="24"/>
          <w:szCs w:val="24"/>
        </w:rPr>
        <w:t>日。</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（1）提供虚假材料谋取中标、成交的；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（2）采取不正当手段诋毁、排挤其他供应商的；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（3）与采购单位、其它供应商恶意串通的；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（4）向采购单位行贿或者提供其他不正当利益的；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（5）在招标采购过程中与采购单位进行私下沟通协商的。</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7、我单位与本项目有关的一切正式来往通讯请寄：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地址：</w:t>
      </w:r>
      <w:r>
        <w:rPr>
          <w:rFonts w:hint="eastAsia" w:ascii="仿宋_GB2312" w:eastAsia="仿宋_GB2312"/>
          <w:sz w:val="24"/>
          <w:szCs w:val="24"/>
          <w:u w:val="single"/>
        </w:rPr>
        <w:t xml:space="preserve">                  </w:t>
      </w:r>
      <w:r>
        <w:rPr>
          <w:rFonts w:hint="eastAsia" w:ascii="仿宋_GB2312" w:eastAsia="仿宋_GB2312"/>
          <w:sz w:val="24"/>
          <w:szCs w:val="24"/>
        </w:rPr>
        <w:t>邮编：</w:t>
      </w:r>
      <w:r>
        <w:rPr>
          <w:rFonts w:hint="eastAsia" w:ascii="仿宋_GB2312" w:eastAsia="仿宋_GB2312"/>
          <w:sz w:val="24"/>
          <w:szCs w:val="24"/>
          <w:u w:val="single"/>
        </w:rPr>
        <w:t xml:space="preserve">               </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电话：</w:t>
      </w:r>
      <w:r>
        <w:rPr>
          <w:rFonts w:hint="eastAsia" w:ascii="仿宋_GB2312" w:eastAsia="仿宋_GB2312"/>
          <w:sz w:val="24"/>
          <w:szCs w:val="24"/>
          <w:u w:val="single"/>
        </w:rPr>
        <w:t xml:space="preserve">                  </w:t>
      </w:r>
      <w:r>
        <w:rPr>
          <w:rFonts w:hint="eastAsia" w:ascii="仿宋_GB2312" w:eastAsia="仿宋_GB2312"/>
          <w:sz w:val="24"/>
          <w:szCs w:val="24"/>
        </w:rPr>
        <w:t>传真：</w:t>
      </w:r>
      <w:r>
        <w:rPr>
          <w:rFonts w:hint="eastAsia" w:ascii="仿宋_GB2312" w:eastAsia="仿宋_GB2312"/>
          <w:sz w:val="24"/>
          <w:szCs w:val="24"/>
          <w:u w:val="single"/>
        </w:rPr>
        <w:t xml:space="preserve">               </w:t>
      </w:r>
      <w:r>
        <w:rPr>
          <w:rFonts w:hint="eastAsia" w:ascii="仿宋_GB2312" w:eastAsia="仿宋_GB2312"/>
          <w:sz w:val="24"/>
          <w:szCs w:val="24"/>
        </w:rPr>
        <w:t xml:space="preserve"> </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8、投标保证金请退回至我单位银行账户：</w:t>
      </w:r>
    </w:p>
    <w:p>
      <w:pPr>
        <w:spacing w:line="360" w:lineRule="auto"/>
        <w:ind w:left="540" w:firstLine="840" w:firstLineChars="350"/>
        <w:jc w:val="left"/>
        <w:rPr>
          <w:rFonts w:ascii="仿宋_GB2312" w:eastAsia="仿宋_GB2312"/>
          <w:sz w:val="24"/>
          <w:szCs w:val="24"/>
        </w:rPr>
      </w:pPr>
      <w:r>
        <w:rPr>
          <w:rFonts w:hint="eastAsia" w:ascii="仿宋_GB2312" w:eastAsia="仿宋_GB2312"/>
          <w:sz w:val="24"/>
          <w:szCs w:val="24"/>
        </w:rPr>
        <w:t>账号：</w:t>
      </w:r>
      <w:r>
        <w:rPr>
          <w:rFonts w:hint="eastAsia" w:ascii="仿宋_GB2312" w:eastAsia="仿宋_GB2312"/>
          <w:sz w:val="24"/>
          <w:szCs w:val="24"/>
          <w:u w:val="single"/>
        </w:rPr>
        <w:t xml:space="preserve">                   </w:t>
      </w:r>
      <w:r>
        <w:rPr>
          <w:rFonts w:hint="eastAsia" w:ascii="仿宋_GB2312" w:eastAsia="仿宋_GB2312"/>
          <w:sz w:val="24"/>
          <w:szCs w:val="24"/>
        </w:rPr>
        <w:t>开户行：</w:t>
      </w:r>
      <w:r>
        <w:rPr>
          <w:rFonts w:hint="eastAsia" w:ascii="仿宋_GB2312" w:eastAsia="仿宋_GB2312"/>
          <w:sz w:val="24"/>
          <w:szCs w:val="24"/>
          <w:u w:val="single"/>
        </w:rPr>
        <w:t xml:space="preserve">              </w:t>
      </w:r>
    </w:p>
    <w:p>
      <w:pPr>
        <w:spacing w:line="360" w:lineRule="auto"/>
        <w:ind w:left="540" w:firstLine="30"/>
        <w:jc w:val="left"/>
        <w:rPr>
          <w:rFonts w:ascii="仿宋_GB2312" w:eastAsia="仿宋_GB2312"/>
          <w:sz w:val="24"/>
          <w:szCs w:val="24"/>
        </w:rPr>
      </w:pP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投标人名称：</w:t>
      </w:r>
      <w:r>
        <w:rPr>
          <w:rFonts w:hint="eastAsia" w:ascii="仿宋_GB2312" w:eastAsia="仿宋_GB2312"/>
          <w:sz w:val="24"/>
          <w:szCs w:val="24"/>
          <w:u w:val="single"/>
        </w:rPr>
        <w:t xml:space="preserve">                    </w:t>
      </w:r>
      <w:r>
        <w:rPr>
          <w:rFonts w:hint="eastAsia" w:ascii="仿宋_GB2312" w:eastAsia="仿宋_GB2312"/>
          <w:sz w:val="24"/>
          <w:szCs w:val="24"/>
        </w:rPr>
        <w:t>（公章）</w:t>
      </w:r>
    </w:p>
    <w:p>
      <w:pPr>
        <w:spacing w:line="360" w:lineRule="auto"/>
        <w:ind w:left="540" w:leftChars="257" w:firstLine="1108" w:firstLineChars="462"/>
        <w:jc w:val="left"/>
        <w:rPr>
          <w:rFonts w:ascii="仿宋_GB2312" w:eastAsia="仿宋_GB2312"/>
          <w:sz w:val="24"/>
          <w:szCs w:val="24"/>
        </w:rPr>
      </w:pPr>
      <w:r>
        <w:rPr>
          <w:rFonts w:hint="eastAsia" w:ascii="仿宋_GB2312" w:eastAsia="仿宋_GB2312"/>
          <w:sz w:val="24"/>
          <w:szCs w:val="24"/>
        </w:rPr>
        <w:t>授权代表签字：</w:t>
      </w:r>
      <w:r>
        <w:rPr>
          <w:rFonts w:hint="eastAsia" w:ascii="仿宋_GB2312" w:eastAsia="仿宋_GB2312"/>
          <w:sz w:val="24"/>
          <w:szCs w:val="24"/>
          <w:u w:val="single"/>
        </w:rPr>
        <w:t xml:space="preserve">                  </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投标日期：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spacing w:line="360" w:lineRule="auto"/>
        <w:jc w:val="left"/>
        <w:rPr>
          <w:rStyle w:val="13"/>
          <w:rFonts w:ascii="仿宋_GB2312" w:eastAsia="仿宋_GB2312"/>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3"/>
          <w:rFonts w:ascii="仿宋_GB2312" w:eastAsia="仿宋_GB2312"/>
          <w:sz w:val="30"/>
        </w:rPr>
      </w:pPr>
      <w:r>
        <w:rPr>
          <w:rStyle w:val="13"/>
          <w:rFonts w:hint="eastAsia" w:ascii="仿宋_GB2312" w:eastAsia="仿宋_GB2312"/>
          <w:sz w:val="30"/>
        </w:rPr>
        <w:t>附件三</w:t>
      </w:r>
    </w:p>
    <w:p>
      <w:pPr>
        <w:jc w:val="center"/>
        <w:rPr>
          <w:rFonts w:ascii="elix Titling" w:hAnsi="elix Titling" w:eastAsia="仿宋"/>
          <w:b/>
          <w:spacing w:val="40"/>
          <w:sz w:val="36"/>
        </w:rPr>
      </w:pPr>
      <w:r>
        <w:rPr>
          <w:rFonts w:hint="eastAsia"/>
          <w:b/>
          <w:spacing w:val="40"/>
          <w:sz w:val="36"/>
        </w:rPr>
        <w:t>法定代表人授权书</w:t>
      </w:r>
    </w:p>
    <w:p>
      <w:pPr>
        <w:ind w:left="540" w:leftChars="257" w:firstLine="2920" w:firstLineChars="808"/>
        <w:rPr>
          <w:rFonts w:ascii="宋体" w:hAnsi="宋体"/>
          <w:b/>
          <w:sz w:val="36"/>
        </w:rPr>
      </w:pP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（投标人全称）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w:t>
      </w:r>
      <w:r>
        <w:rPr>
          <w:rFonts w:hint="eastAsia" w:ascii="仿宋_GB2312" w:eastAsia="仿宋_GB2312"/>
          <w:sz w:val="30"/>
          <w:u w:val="single"/>
          <w:lang w:val="en-US" w:eastAsia="zh-CN"/>
        </w:rPr>
        <w:t>2021年</w:t>
      </w:r>
      <w:r>
        <w:rPr>
          <w:rFonts w:hint="eastAsia" w:ascii="仿宋_GB2312" w:eastAsia="仿宋_GB2312"/>
          <w:sz w:val="30"/>
          <w:szCs w:val="22"/>
          <w:u w:val="single"/>
        </w:rPr>
        <w:t>临江公司三固项目年度委外检测服务</w:t>
      </w:r>
      <w:r>
        <w:rPr>
          <w:rFonts w:hint="eastAsia" w:ascii="仿宋_GB2312" w:eastAsia="仿宋_GB2312"/>
          <w:sz w:val="30"/>
          <w:u w:val="single"/>
        </w:rPr>
        <w:t xml:space="preserve">     </w:t>
      </w:r>
      <w:r>
        <w:rPr>
          <w:rFonts w:hint="eastAsia" w:ascii="仿宋_GB2312" w:eastAsia="仿宋_GB2312"/>
          <w:sz w:val="30"/>
        </w:rPr>
        <w:t>（招标项目名称）编号为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全权代表</w:t>
      </w:r>
      <w:r>
        <w:rPr>
          <w:rFonts w:ascii="仿宋_GB2312" w:eastAsia="仿宋_GB2312"/>
          <w:sz w:val="30"/>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sz w:val="30"/>
              </w:rPr>
            </w:pPr>
            <w:r>
              <w:rPr>
                <w:rFonts w:hint="eastAsia" w:ascii="仿宋_GB2312" w:eastAsia="仿宋_GB2312"/>
                <w:sz w:val="30"/>
              </w:rPr>
              <w:t>附：法定代表人、全权代表身份证明</w:t>
            </w:r>
          </w:p>
        </w:tc>
      </w:tr>
    </w:tbl>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r>
        <w:rPr>
          <w:rFonts w:hint="eastAsia" w:ascii="仿宋_GB2312" w:eastAsia="仿宋_GB2312"/>
          <w:sz w:val="30"/>
        </w:rPr>
        <w:t xml:space="preserve">       投标人名称：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rPr>
          <w:rFonts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rPr>
          <w:rFonts w:hint="eastAsia" w:ascii="仿宋_GB2312" w:eastAsia="仿宋_GB2312"/>
          <w:sz w:val="30"/>
          <w:u w:val="single"/>
        </w:rPr>
      </w:pPr>
      <w:r>
        <w:rPr>
          <w:rFonts w:hint="eastAsia" w:ascii="仿宋_GB2312" w:eastAsia="仿宋_GB2312"/>
          <w:sz w:val="30"/>
          <w:szCs w:val="22"/>
        </w:rPr>
        <w:t>授权</w:t>
      </w:r>
      <w:r>
        <w:rPr>
          <w:rFonts w:hint="eastAsia" w:ascii="仿宋_GB2312" w:eastAsia="仿宋_GB2312"/>
          <w:sz w:val="30"/>
        </w:rPr>
        <w:t>代表签字：</w:t>
      </w:r>
      <w:r>
        <w:rPr>
          <w:rFonts w:hint="eastAsia" w:ascii="仿宋_GB2312" w:eastAsia="仿宋_GB2312"/>
          <w:sz w:val="30"/>
          <w:u w:val="single"/>
        </w:rPr>
        <w:t xml:space="preserve">                  </w:t>
      </w:r>
    </w:p>
    <w:p>
      <w:pPr>
        <w:snapToGrid w:val="0"/>
        <w:spacing w:line="360" w:lineRule="auto"/>
        <w:ind w:right="480"/>
        <w:rPr>
          <w:rFonts w:hint="default" w:ascii="仿宋_GB2312" w:eastAsia="仿宋_GB2312"/>
          <w:sz w:val="30"/>
          <w:u w:val="single"/>
          <w:lang w:val="en-US" w:eastAsia="zh-CN"/>
        </w:rPr>
      </w:pPr>
      <w:r>
        <w:rPr>
          <w:rFonts w:hint="eastAsia" w:ascii="仿宋_GB2312" w:eastAsia="仿宋_GB2312"/>
          <w:sz w:val="30"/>
        </w:rPr>
        <w:t xml:space="preserve">           </w:t>
      </w:r>
      <w:r>
        <w:rPr>
          <w:rFonts w:hint="eastAsia" w:ascii="仿宋_GB2312" w:eastAsia="仿宋_GB2312"/>
          <w:sz w:val="30"/>
          <w:lang w:eastAsia="zh-CN"/>
        </w:rPr>
        <w:t>联系方式：</w:t>
      </w:r>
      <w:r>
        <w:rPr>
          <w:rFonts w:hint="eastAsia" w:ascii="仿宋_GB2312" w:eastAsia="仿宋_GB2312"/>
          <w:sz w:val="30"/>
          <w:u w:val="single"/>
          <w:lang w:val="en-US" w:eastAsia="zh-CN"/>
        </w:rPr>
        <w:t xml:space="preserve">                  </w:t>
      </w:r>
    </w:p>
    <w:p>
      <w:pPr>
        <w:spacing w:line="360" w:lineRule="auto"/>
        <w:ind w:left="540" w:leftChars="257" w:firstLine="1086" w:firstLineChars="362"/>
        <w:rPr>
          <w:rFonts w:hint="eastAsia" w:ascii="仿宋_GB2312" w:eastAsia="仿宋_GB2312"/>
          <w:sz w:val="30"/>
          <w:szCs w:val="22"/>
        </w:rPr>
      </w:pPr>
      <w:r>
        <w:rPr>
          <w:rFonts w:hint="eastAsia" w:ascii="仿宋_GB2312" w:eastAsia="仿宋_GB2312"/>
          <w:sz w:val="30"/>
          <w:szCs w:val="22"/>
        </w:rPr>
        <w:t>日期： 2021 年    月    日</w:t>
      </w:r>
    </w:p>
    <w:p>
      <w:pPr>
        <w:adjustRightInd w:val="0"/>
        <w:snapToGrid w:val="0"/>
        <w:spacing w:line="360" w:lineRule="auto"/>
        <w:ind w:right="480"/>
        <w:jc w:val="left"/>
        <w:rPr>
          <w:rFonts w:ascii="仿宋_GB2312" w:hAnsi="宋体" w:eastAsia="仿宋_GB2312"/>
          <w:b/>
          <w:color w:val="000000"/>
          <w:kern w:val="0"/>
          <w:sz w:val="32"/>
          <w:szCs w:val="32"/>
          <w:lang w:val="zh-CN"/>
        </w:rPr>
      </w:pPr>
      <w:r>
        <w:rPr>
          <w:rStyle w:val="13"/>
          <w:rFonts w:ascii="仿宋_GB2312" w:eastAsia="仿宋_GB2312"/>
          <w:sz w:val="30"/>
        </w:rPr>
        <w:br w:type="page"/>
      </w:r>
      <w:r>
        <w:rPr>
          <w:rStyle w:val="13"/>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17"/>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napToGrid w:val="0"/>
          <w:sz w:val="30"/>
        </w:rPr>
      </w:pPr>
      <w:r>
        <w:rPr>
          <w:rFonts w:hint="eastAsia" w:ascii="仿宋_GB2312" w:eastAsia="仿宋_GB2312"/>
          <w:snapToGrid w:val="0"/>
          <w:sz w:val="30"/>
        </w:rPr>
        <w:t>我公司</w:t>
      </w:r>
      <w:r>
        <w:rPr>
          <w:rFonts w:hint="eastAsia" w:ascii="仿宋_GB2312" w:eastAsia="仿宋_GB2312"/>
          <w:snapToGrid w:val="0"/>
          <w:sz w:val="30"/>
          <w:u w:val="single"/>
        </w:rPr>
        <w:t xml:space="preserve">                   </w:t>
      </w:r>
      <w:r>
        <w:rPr>
          <w:rFonts w:hint="eastAsia" w:ascii="仿宋_GB2312" w:eastAsia="仿宋_GB2312"/>
          <w:snapToGrid w:val="0"/>
          <w:sz w:val="30"/>
        </w:rPr>
        <w:t>根据贵单位招标文件要求，参与</w:t>
      </w:r>
      <w:r>
        <w:rPr>
          <w:rFonts w:hint="eastAsia" w:ascii="仿宋_GB2312" w:eastAsia="仿宋_GB2312"/>
          <w:snapToGrid w:val="0"/>
          <w:sz w:val="30"/>
          <w:u w:val="single"/>
        </w:rPr>
        <w:t xml:space="preserve">    </w:t>
      </w:r>
      <w:r>
        <w:rPr>
          <w:rFonts w:hint="eastAsia" w:ascii="仿宋_GB2312" w:eastAsia="仿宋_GB2312"/>
          <w:snapToGrid w:val="0"/>
          <w:sz w:val="30"/>
          <w:u w:val="single"/>
          <w:lang w:val="en-US" w:eastAsia="zh-CN"/>
        </w:rPr>
        <w:t>2021年</w:t>
      </w:r>
      <w:r>
        <w:rPr>
          <w:rFonts w:hint="eastAsia" w:ascii="仿宋_GB2312" w:eastAsia="仿宋_GB2312"/>
          <w:snapToGrid w:val="0"/>
          <w:sz w:val="30"/>
          <w:szCs w:val="22"/>
          <w:u w:val="single"/>
        </w:rPr>
        <w:t>临江公司三固项目年度委外检测服务</w:t>
      </w:r>
      <w:r>
        <w:rPr>
          <w:rFonts w:hint="eastAsia" w:ascii="仿宋_GB2312" w:eastAsia="仿宋_GB2312"/>
          <w:snapToGrid w:val="0"/>
          <w:sz w:val="30"/>
          <w:u w:val="single"/>
        </w:rPr>
        <w:t xml:space="preserve">    </w:t>
      </w:r>
      <w:r>
        <w:rPr>
          <w:rFonts w:hint="eastAsia" w:ascii="仿宋_GB2312" w:eastAsia="仿宋_GB2312"/>
          <w:snapToGrid w:val="0"/>
          <w:sz w:val="30"/>
        </w:rPr>
        <w:t>项目的投标，具体如下：</w:t>
      </w:r>
    </w:p>
    <w:p>
      <w:pPr>
        <w:jc w:val="right"/>
        <w:rPr>
          <w:rFonts w:ascii="仿宋_GB2312" w:eastAsia="仿宋_GB2312"/>
          <w:sz w:val="30"/>
        </w:rPr>
      </w:pPr>
      <w:r>
        <w:rPr>
          <w:rFonts w:hint="eastAsia" w:ascii="仿宋_GB2312" w:eastAsia="仿宋_GB2312"/>
          <w:sz w:val="30"/>
        </w:rPr>
        <w:t xml:space="preserve">                                                             </w:t>
      </w:r>
      <w:r>
        <w:rPr>
          <w:rFonts w:hint="eastAsia" w:ascii="仿宋_GB2312" w:eastAsia="仿宋_GB2312"/>
          <w:snapToGrid w:val="0"/>
          <w:sz w:val="30"/>
        </w:rPr>
        <w:t>（金额单位：元，税率为   %）</w:t>
      </w:r>
    </w:p>
    <w:p>
      <w:pPr>
        <w:jc w:val="right"/>
        <w:rPr>
          <w:rFonts w:ascii="仿宋_GB2312" w:eastAsia="仿宋_GB2312"/>
          <w:sz w:val="30"/>
        </w:rPr>
      </w:pPr>
      <w:r>
        <w:rPr>
          <w:rFonts w:hint="eastAsia" w:ascii="仿宋_GB2312" w:eastAsia="仿宋_GB2312"/>
          <w:sz w:val="30"/>
        </w:rPr>
        <w:t xml:space="preserve">   </w:t>
      </w:r>
    </w:p>
    <w:p>
      <w:pPr>
        <w:jc w:val="right"/>
        <w:rPr>
          <w:rFonts w:ascii="Arial" w:hAnsi="Arial" w:cs="Arial"/>
          <w:szCs w:val="21"/>
        </w:rPr>
      </w:pPr>
      <w:r>
        <w:rPr>
          <w:rFonts w:ascii="Arial" w:hAnsi="Arial" w:cs="Arial"/>
          <w:szCs w:val="21"/>
        </w:rPr>
        <w:t>单位：元人民币</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3941"/>
        <w:gridCol w:w="992"/>
        <w:gridCol w:w="850"/>
        <w:gridCol w:w="1276"/>
        <w:gridCol w:w="11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864" w:type="dxa"/>
            <w:vAlign w:val="center"/>
          </w:tcPr>
          <w:p>
            <w:pPr>
              <w:spacing w:line="360" w:lineRule="auto"/>
              <w:jc w:val="center"/>
              <w:rPr>
                <w:rFonts w:ascii="Arial" w:hAnsi="Arial" w:cs="Arial"/>
                <w:b/>
                <w:szCs w:val="21"/>
              </w:rPr>
            </w:pPr>
            <w:r>
              <w:rPr>
                <w:rFonts w:ascii="Arial" w:hAnsi="Arial" w:cs="Arial"/>
                <w:b/>
                <w:szCs w:val="21"/>
              </w:rPr>
              <w:t>序号</w:t>
            </w:r>
          </w:p>
        </w:tc>
        <w:tc>
          <w:tcPr>
            <w:tcW w:w="3941" w:type="dxa"/>
            <w:vAlign w:val="center"/>
          </w:tcPr>
          <w:p>
            <w:pPr>
              <w:spacing w:line="360" w:lineRule="auto"/>
              <w:jc w:val="center"/>
              <w:rPr>
                <w:rFonts w:ascii="Arial" w:hAnsi="Arial" w:cs="Arial"/>
                <w:b/>
                <w:szCs w:val="21"/>
              </w:rPr>
            </w:pPr>
            <w:r>
              <w:rPr>
                <w:rFonts w:ascii="Arial" w:hAnsi="Arial" w:cs="Arial"/>
                <w:b/>
                <w:szCs w:val="21"/>
              </w:rPr>
              <w:t>项目名称</w:t>
            </w:r>
          </w:p>
        </w:tc>
        <w:tc>
          <w:tcPr>
            <w:tcW w:w="992" w:type="dxa"/>
            <w:vAlign w:val="center"/>
          </w:tcPr>
          <w:p>
            <w:pPr>
              <w:spacing w:line="360" w:lineRule="auto"/>
              <w:jc w:val="center"/>
              <w:rPr>
                <w:rFonts w:ascii="Arial" w:hAnsi="Arial" w:cs="Arial"/>
                <w:b/>
                <w:szCs w:val="21"/>
              </w:rPr>
            </w:pPr>
            <w:r>
              <w:rPr>
                <w:rFonts w:ascii="Arial" w:hAnsi="Arial" w:cs="Arial"/>
                <w:b/>
                <w:szCs w:val="21"/>
              </w:rPr>
              <w:t>单位</w:t>
            </w:r>
          </w:p>
        </w:tc>
        <w:tc>
          <w:tcPr>
            <w:tcW w:w="850" w:type="dxa"/>
            <w:vAlign w:val="center"/>
          </w:tcPr>
          <w:p>
            <w:pPr>
              <w:spacing w:line="360" w:lineRule="auto"/>
              <w:jc w:val="center"/>
              <w:rPr>
                <w:rFonts w:ascii="Arial" w:hAnsi="Arial" w:cs="Arial"/>
                <w:b/>
                <w:szCs w:val="21"/>
              </w:rPr>
            </w:pPr>
            <w:r>
              <w:rPr>
                <w:rFonts w:ascii="Arial" w:hAnsi="Arial" w:cs="Arial"/>
                <w:b/>
                <w:szCs w:val="21"/>
              </w:rPr>
              <w:t>数量</w:t>
            </w:r>
          </w:p>
        </w:tc>
        <w:tc>
          <w:tcPr>
            <w:tcW w:w="1276" w:type="dxa"/>
            <w:vAlign w:val="center"/>
          </w:tcPr>
          <w:p>
            <w:pPr>
              <w:spacing w:line="360" w:lineRule="auto"/>
              <w:jc w:val="center"/>
              <w:rPr>
                <w:rFonts w:ascii="Arial" w:hAnsi="Arial" w:cs="Arial"/>
                <w:b/>
                <w:szCs w:val="21"/>
              </w:rPr>
            </w:pPr>
            <w:r>
              <w:rPr>
                <w:rFonts w:ascii="Arial" w:hAnsi="Arial" w:cs="Arial"/>
                <w:b/>
                <w:szCs w:val="21"/>
              </w:rPr>
              <w:t>投标报价</w:t>
            </w:r>
          </w:p>
        </w:tc>
        <w:tc>
          <w:tcPr>
            <w:tcW w:w="1134" w:type="dxa"/>
            <w:vAlign w:val="center"/>
          </w:tcPr>
          <w:p>
            <w:pPr>
              <w:spacing w:line="360" w:lineRule="auto"/>
              <w:jc w:val="center"/>
              <w:rPr>
                <w:rFonts w:ascii="Arial" w:hAnsi="Arial" w:cs="Arial"/>
                <w:b/>
                <w:szCs w:val="21"/>
              </w:rPr>
            </w:pPr>
            <w:r>
              <w:rPr>
                <w:rFonts w:ascii="Arial" w:hAnsi="Arial" w:cs="Arial"/>
                <w:b/>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6" w:hRule="exact"/>
          <w:jc w:val="center"/>
        </w:trPr>
        <w:tc>
          <w:tcPr>
            <w:tcW w:w="864" w:type="dxa"/>
            <w:vAlign w:val="center"/>
          </w:tcPr>
          <w:p>
            <w:pPr>
              <w:spacing w:line="360" w:lineRule="auto"/>
              <w:jc w:val="center"/>
              <w:rPr>
                <w:rFonts w:ascii="Arial" w:hAnsi="Arial" w:cs="Arial"/>
                <w:szCs w:val="21"/>
              </w:rPr>
            </w:pPr>
            <w:r>
              <w:rPr>
                <w:rFonts w:ascii="Arial" w:hAnsi="Arial" w:cs="Arial"/>
                <w:szCs w:val="21"/>
              </w:rPr>
              <w:t>1</w:t>
            </w:r>
          </w:p>
        </w:tc>
        <w:tc>
          <w:tcPr>
            <w:tcW w:w="3941" w:type="dxa"/>
            <w:vAlign w:val="center"/>
          </w:tcPr>
          <w:p>
            <w:pPr>
              <w:spacing w:line="360" w:lineRule="auto"/>
              <w:jc w:val="left"/>
              <w:rPr>
                <w:rFonts w:ascii="Arial" w:hAnsi="Arial" w:cs="Arial"/>
                <w:szCs w:val="21"/>
              </w:rPr>
            </w:pPr>
            <w:r>
              <w:rPr>
                <w:rFonts w:hint="eastAsia" w:ascii="仿宋_GB2312" w:eastAsia="仿宋_GB2312"/>
                <w:b/>
                <w:bCs/>
                <w:snapToGrid w:val="0"/>
                <w:szCs w:val="21"/>
                <w:lang w:val="en-US" w:eastAsia="zh-CN"/>
              </w:rPr>
              <w:t>2021年</w:t>
            </w:r>
            <w:r>
              <w:rPr>
                <w:rFonts w:hint="eastAsia" w:ascii="仿宋_GB2312" w:eastAsia="仿宋_GB2312"/>
                <w:b/>
                <w:bCs/>
                <w:snapToGrid w:val="0"/>
                <w:szCs w:val="21"/>
              </w:rPr>
              <w:t>临江公司三固项目年度委外检测服务</w:t>
            </w:r>
          </w:p>
        </w:tc>
        <w:tc>
          <w:tcPr>
            <w:tcW w:w="992" w:type="dxa"/>
            <w:vAlign w:val="center"/>
          </w:tcPr>
          <w:p>
            <w:pPr>
              <w:spacing w:line="360" w:lineRule="auto"/>
              <w:jc w:val="center"/>
              <w:rPr>
                <w:rFonts w:ascii="Arial" w:hAnsi="Arial" w:cs="Arial"/>
                <w:szCs w:val="21"/>
              </w:rPr>
            </w:pPr>
            <w:r>
              <w:rPr>
                <w:rFonts w:ascii="Arial" w:hAnsi="Arial" w:cs="Arial"/>
                <w:b/>
                <w:bCs/>
                <w:szCs w:val="21"/>
              </w:rPr>
              <w:t>项</w:t>
            </w:r>
          </w:p>
        </w:tc>
        <w:tc>
          <w:tcPr>
            <w:tcW w:w="850" w:type="dxa"/>
            <w:vAlign w:val="center"/>
          </w:tcPr>
          <w:p>
            <w:pPr>
              <w:spacing w:line="360" w:lineRule="auto"/>
              <w:jc w:val="center"/>
              <w:rPr>
                <w:rFonts w:ascii="Arial" w:hAnsi="Arial" w:cs="Arial"/>
                <w:szCs w:val="21"/>
              </w:rPr>
            </w:pPr>
            <w:r>
              <w:rPr>
                <w:rFonts w:ascii="Arial" w:hAnsi="Arial" w:cs="Arial"/>
                <w:szCs w:val="21"/>
              </w:rPr>
              <w:t>1</w:t>
            </w:r>
          </w:p>
        </w:tc>
        <w:tc>
          <w:tcPr>
            <w:tcW w:w="1276" w:type="dxa"/>
            <w:vAlign w:val="center"/>
          </w:tcPr>
          <w:p>
            <w:pPr>
              <w:spacing w:line="360" w:lineRule="auto"/>
              <w:jc w:val="center"/>
              <w:rPr>
                <w:rFonts w:ascii="Arial" w:hAnsi="Arial" w:cs="Arial"/>
                <w:szCs w:val="21"/>
              </w:rPr>
            </w:pPr>
          </w:p>
        </w:tc>
        <w:tc>
          <w:tcPr>
            <w:tcW w:w="1134" w:type="dxa"/>
            <w:vAlign w:val="center"/>
          </w:tcPr>
          <w:p>
            <w:pPr>
              <w:spacing w:line="360" w:lineRule="auto"/>
              <w:jc w:val="center"/>
              <w:rPr>
                <w:rFonts w:ascii="Arial" w:hAnsi="Arial" w:cs="Arial"/>
                <w:szCs w:val="21"/>
              </w:rPr>
            </w:pPr>
          </w:p>
        </w:tc>
      </w:tr>
    </w:tbl>
    <w:p>
      <w:pPr>
        <w:spacing w:line="360" w:lineRule="auto"/>
        <w:rPr>
          <w:rFonts w:ascii="仿宋_GB2312" w:eastAsia="仿宋_GB2312"/>
          <w:sz w:val="30"/>
        </w:rPr>
      </w:pPr>
    </w:p>
    <w:p>
      <w:pPr>
        <w:spacing w:line="480" w:lineRule="auto"/>
        <w:ind w:left="540" w:firstLine="30"/>
        <w:jc w:val="left"/>
        <w:rPr>
          <w:rFonts w:ascii="仿宋_GB2312" w:eastAsia="仿宋_GB2312"/>
          <w:sz w:val="30"/>
        </w:rPr>
      </w:pPr>
      <w:r>
        <w:rPr>
          <w:rFonts w:hint="eastAsia" w:ascii="仿宋_GB2312" w:hAnsi="宋体" w:eastAsia="仿宋_GB2312"/>
          <w:color w:val="000000"/>
          <w:kern w:val="0"/>
          <w:sz w:val="24"/>
          <w:lang w:val="zh-CN"/>
        </w:rPr>
        <w:t xml:space="preserve">                  </w:t>
      </w: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（公章）</w:t>
      </w:r>
    </w:p>
    <w:p>
      <w:pPr>
        <w:spacing w:after="120" w:line="480" w:lineRule="auto"/>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szCs w:val="22"/>
        </w:rPr>
        <w:t>法定代表人或其授权代表</w:t>
      </w:r>
      <w:r>
        <w:rPr>
          <w:rFonts w:hint="eastAsia" w:ascii="仿宋_GB2312" w:eastAsia="仿宋_GB2312"/>
          <w:sz w:val="30"/>
        </w:rPr>
        <w:t>：</w:t>
      </w:r>
      <w:r>
        <w:rPr>
          <w:rFonts w:hint="eastAsia" w:ascii="仿宋_GB2312" w:eastAsia="仿宋_GB2312"/>
          <w:sz w:val="30"/>
          <w:u w:val="single"/>
        </w:rPr>
        <w:t xml:space="preserve">                  </w:t>
      </w:r>
    </w:p>
    <w:p>
      <w:pPr>
        <w:spacing w:line="480" w:lineRule="auto"/>
        <w:ind w:firstLine="600" w:firstLineChars="200"/>
        <w:rPr>
          <w:rFonts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2021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 xml:space="preserve">日   </w:t>
      </w:r>
    </w:p>
    <w:p>
      <w:pPr>
        <w:spacing w:line="480" w:lineRule="auto"/>
        <w:jc w:val="left"/>
        <w:rPr>
          <w:rFonts w:ascii="仿宋_GB2312" w:eastAsia="仿宋_GB2312"/>
          <w:b/>
          <w:spacing w:val="-2"/>
          <w:sz w:val="30"/>
        </w:rPr>
      </w:pPr>
      <w:bookmarkStart w:id="46" w:name="_Toc103165678"/>
      <w:bookmarkStart w:id="47" w:name="_Toc108839328"/>
      <w:r>
        <w:rPr>
          <w:rStyle w:val="13"/>
          <w:rFonts w:hint="eastAsia" w:ascii="仿宋_GB2312" w:eastAsia="仿宋_GB2312"/>
          <w:sz w:val="30"/>
        </w:rPr>
        <w:t>附件</w:t>
      </w:r>
      <w:bookmarkEnd w:id="46"/>
      <w:bookmarkEnd w:id="47"/>
      <w:r>
        <w:rPr>
          <w:rStyle w:val="13"/>
          <w:rFonts w:hint="eastAsia" w:ascii="仿宋_GB2312" w:eastAsia="仿宋_GB2312"/>
          <w:sz w:val="30"/>
        </w:rPr>
        <w:t>五</w:t>
      </w:r>
    </w:p>
    <w:p>
      <w:pPr>
        <w:spacing w:line="480" w:lineRule="auto"/>
        <w:jc w:val="center"/>
        <w:rPr>
          <w:b/>
          <w:spacing w:val="40"/>
          <w:sz w:val="36"/>
          <w:szCs w:val="22"/>
        </w:rPr>
      </w:pPr>
      <w:bookmarkStart w:id="48" w:name="_Toc102529523"/>
      <w:r>
        <w:rPr>
          <w:rFonts w:hint="eastAsia"/>
          <w:b/>
          <w:spacing w:val="40"/>
          <w:sz w:val="36"/>
          <w:szCs w:val="22"/>
        </w:rPr>
        <w:t>投标报价明细表</w:t>
      </w:r>
    </w:p>
    <w:p>
      <w:pPr>
        <w:spacing w:line="360" w:lineRule="auto"/>
        <w:rPr>
          <w:rFonts w:ascii="仿宋_GB2312" w:eastAsia="仿宋_GB2312"/>
          <w:snapToGrid w:val="0"/>
          <w:sz w:val="30"/>
          <w:szCs w:val="22"/>
        </w:rPr>
      </w:pPr>
      <w:r>
        <w:rPr>
          <w:rFonts w:hint="eastAsia" w:ascii="仿宋_GB2312" w:eastAsia="仿宋_GB2312"/>
          <w:snapToGrid w:val="0"/>
          <w:sz w:val="30"/>
          <w:szCs w:val="22"/>
        </w:rPr>
        <w:t>项目名称：</w:t>
      </w:r>
      <w:r>
        <w:rPr>
          <w:rFonts w:hint="eastAsia" w:ascii="仿宋_GB2312" w:eastAsia="仿宋_GB2312"/>
          <w:snapToGrid w:val="0"/>
          <w:sz w:val="30"/>
          <w:szCs w:val="22"/>
          <w:lang w:val="en-US" w:eastAsia="zh-CN"/>
        </w:rPr>
        <w:t>2021年</w:t>
      </w:r>
      <w:r>
        <w:rPr>
          <w:rFonts w:hint="eastAsia" w:ascii="仿宋_GB2312" w:eastAsia="仿宋_GB2312"/>
          <w:snapToGrid w:val="0"/>
          <w:sz w:val="30"/>
          <w:szCs w:val="22"/>
        </w:rPr>
        <w:t>临江公司三固项目年度委外检测服务</w:t>
      </w:r>
    </w:p>
    <w:p>
      <w:pPr>
        <w:spacing w:line="360" w:lineRule="auto"/>
        <w:rPr>
          <w:rFonts w:ascii="仿宋_GB2312" w:eastAsia="仿宋_GB2312"/>
          <w:b/>
          <w:bCs/>
          <w:snapToGrid w:val="0"/>
          <w:sz w:val="30"/>
          <w:szCs w:val="22"/>
        </w:rPr>
      </w:pPr>
      <w:r>
        <w:rPr>
          <w:rFonts w:hint="eastAsia" w:ascii="仿宋_GB2312" w:eastAsia="仿宋_GB2312"/>
          <w:b/>
          <w:bCs/>
          <w:snapToGrid w:val="0"/>
          <w:sz w:val="30"/>
          <w:szCs w:val="22"/>
        </w:rPr>
        <w:t>格式自拟</w:t>
      </w:r>
    </w:p>
    <w:p>
      <w:pPr>
        <w:spacing w:line="360" w:lineRule="auto"/>
        <w:rPr>
          <w:rFonts w:ascii="仿宋_GB2312" w:eastAsia="仿宋_GB2312"/>
          <w:snapToGrid w:val="0"/>
          <w:sz w:val="30"/>
          <w:szCs w:val="22"/>
        </w:rPr>
      </w:pPr>
      <w:r>
        <w:rPr>
          <w:rFonts w:hint="eastAsia" w:ascii="仿宋_GB2312" w:eastAsia="仿宋_GB2312"/>
          <w:snapToGrid w:val="0"/>
          <w:sz w:val="30"/>
          <w:szCs w:val="22"/>
        </w:rPr>
        <w:t>1、投标人应根据招标文件自行报价。</w:t>
      </w:r>
    </w:p>
    <w:p>
      <w:pPr>
        <w:spacing w:line="360" w:lineRule="auto"/>
        <w:rPr>
          <w:rFonts w:ascii="仿宋_GB2312" w:eastAsia="仿宋_GB2312"/>
          <w:snapToGrid w:val="0"/>
          <w:sz w:val="30"/>
          <w:szCs w:val="22"/>
        </w:rPr>
      </w:pPr>
      <w:r>
        <w:rPr>
          <w:rFonts w:hint="eastAsia" w:ascii="仿宋_GB2312" w:eastAsia="仿宋_GB2312"/>
          <w:snapToGrid w:val="0"/>
          <w:sz w:val="30"/>
          <w:szCs w:val="22"/>
        </w:rPr>
        <w:t>2、报价必须包括提供项目服务所需的一切人员工资、奖金、各种加班费、各种社会保险（基本养老保险、基本医疗保险、工伤保险、失业保险等）、食宿与交通、高温补偿费、机械、钻孔打井、设备、车辆、安全、管理费用、税费、利润等完成合同所需的一切本身和不可或缺的所有工作开支、政策性文件规定及合同包含的所有风险、责任等各项全部费用并承担一切风险责任。</w:t>
      </w:r>
    </w:p>
    <w:p>
      <w:pPr>
        <w:spacing w:line="360" w:lineRule="auto"/>
        <w:rPr>
          <w:rFonts w:ascii="仿宋_GB2312" w:eastAsia="仿宋_GB2312"/>
          <w:snapToGrid w:val="0"/>
          <w:sz w:val="30"/>
          <w:szCs w:val="22"/>
          <w:shd w:val="pct10" w:color="auto" w:fill="FFFFFF"/>
        </w:rPr>
      </w:pPr>
      <w:r>
        <w:rPr>
          <w:rFonts w:hint="eastAsia" w:ascii="仿宋_GB2312" w:eastAsia="仿宋_GB2312"/>
          <w:snapToGrid w:val="0"/>
          <w:sz w:val="30"/>
          <w:szCs w:val="22"/>
        </w:rPr>
        <w:t>3、投标报价参照《关于调整浙江省环境检测专业服务收费标准的通知》浙价费[2000]147号中相关的收费标准下浮后</w:t>
      </w:r>
      <w:r>
        <w:rPr>
          <w:rFonts w:hint="eastAsia" w:ascii="仿宋_GB2312" w:eastAsia="仿宋_GB2312"/>
          <w:b w:val="0"/>
          <w:bCs/>
          <w:snapToGrid w:val="0"/>
          <w:color w:val="auto"/>
          <w:sz w:val="30"/>
          <w:szCs w:val="22"/>
        </w:rPr>
        <w:t>的金额</w:t>
      </w:r>
      <w:r>
        <w:rPr>
          <w:rFonts w:hint="eastAsia" w:ascii="仿宋_GB2312" w:eastAsia="仿宋_GB2312"/>
          <w:snapToGrid w:val="0"/>
          <w:sz w:val="30"/>
          <w:szCs w:val="22"/>
        </w:rPr>
        <w:t>。</w:t>
      </w:r>
    </w:p>
    <w:p>
      <w:pPr>
        <w:spacing w:line="360" w:lineRule="auto"/>
        <w:rPr>
          <w:rFonts w:ascii="仿宋_GB2312" w:eastAsia="仿宋_GB2312"/>
          <w:snapToGrid w:val="0"/>
          <w:sz w:val="30"/>
          <w:szCs w:val="22"/>
          <w:shd w:val="pct10" w:color="auto" w:fill="FFFFFF"/>
        </w:rPr>
      </w:pPr>
    </w:p>
    <w:p>
      <w:pPr>
        <w:spacing w:line="360" w:lineRule="auto"/>
        <w:rPr>
          <w:rFonts w:ascii="仿宋_GB2312" w:eastAsia="仿宋_GB2312"/>
          <w:snapToGrid w:val="0"/>
          <w:sz w:val="30"/>
          <w:szCs w:val="22"/>
        </w:rPr>
      </w:pPr>
      <w:r>
        <w:rPr>
          <w:rFonts w:hint="eastAsia" w:ascii="仿宋_GB2312" w:eastAsia="仿宋_GB2312"/>
          <w:snapToGrid w:val="0"/>
          <w:sz w:val="30"/>
          <w:szCs w:val="22"/>
        </w:rPr>
        <w:t xml:space="preserve">投标人：（盖章）       </w:t>
      </w:r>
    </w:p>
    <w:p>
      <w:pPr>
        <w:spacing w:line="360" w:lineRule="auto"/>
        <w:rPr>
          <w:rFonts w:ascii="仿宋_GB2312" w:eastAsia="仿宋_GB2312"/>
          <w:snapToGrid w:val="0"/>
          <w:sz w:val="30"/>
          <w:szCs w:val="22"/>
        </w:rPr>
      </w:pPr>
      <w:r>
        <w:rPr>
          <w:rFonts w:hint="eastAsia" w:ascii="仿宋_GB2312" w:eastAsia="仿宋_GB2312"/>
          <w:snapToGrid w:val="0"/>
          <w:sz w:val="30"/>
          <w:szCs w:val="22"/>
        </w:rPr>
        <w:t>法定代表人或其授权代表：（签字或盖章）</w:t>
      </w:r>
    </w:p>
    <w:p>
      <w:pPr>
        <w:spacing w:line="360" w:lineRule="auto"/>
        <w:rPr>
          <w:rFonts w:ascii="仿宋_GB2312" w:eastAsia="仿宋_GB2312"/>
          <w:snapToGrid w:val="0"/>
          <w:sz w:val="30"/>
          <w:szCs w:val="22"/>
        </w:rPr>
      </w:pPr>
      <w:r>
        <w:rPr>
          <w:rFonts w:hint="eastAsia" w:ascii="仿宋_GB2312" w:eastAsia="仿宋_GB2312"/>
          <w:snapToGrid w:val="0"/>
          <w:sz w:val="30"/>
          <w:szCs w:val="22"/>
        </w:rPr>
        <w:t>日期：</w:t>
      </w:r>
    </w:p>
    <w:p>
      <w:pPr>
        <w:jc w:val="center"/>
        <w:rPr>
          <w:b/>
          <w:spacing w:val="40"/>
          <w:sz w:val="36"/>
        </w:rPr>
      </w:pPr>
    </w:p>
    <w:p>
      <w:pPr>
        <w:jc w:val="center"/>
        <w:rPr>
          <w:b/>
          <w:spacing w:val="40"/>
          <w:sz w:val="36"/>
        </w:rPr>
      </w:pPr>
    </w:p>
    <w:p>
      <w:pPr>
        <w:jc w:val="center"/>
        <w:rPr>
          <w:b/>
          <w:spacing w:val="40"/>
          <w:sz w:val="36"/>
        </w:rPr>
      </w:pPr>
    </w:p>
    <w:p>
      <w:pPr>
        <w:jc w:val="center"/>
        <w:rPr>
          <w:b/>
          <w:spacing w:val="40"/>
          <w:sz w:val="36"/>
        </w:rPr>
      </w:pPr>
    </w:p>
    <w:p>
      <w:pPr>
        <w:rPr>
          <w:b/>
          <w:spacing w:val="40"/>
          <w:sz w:val="36"/>
        </w:rPr>
      </w:pPr>
    </w:p>
    <w:p>
      <w:pPr>
        <w:jc w:val="left"/>
        <w:rPr>
          <w:rStyle w:val="13"/>
          <w:rFonts w:ascii="仿宋_GB2312" w:eastAsia="仿宋_GB2312"/>
          <w:sz w:val="30"/>
        </w:rPr>
      </w:pPr>
      <w:r>
        <w:rPr>
          <w:rStyle w:val="13"/>
          <w:rFonts w:hint="eastAsia" w:ascii="仿宋_GB2312" w:eastAsia="仿宋_GB2312"/>
          <w:sz w:val="30"/>
        </w:rPr>
        <w:t>附件六</w:t>
      </w:r>
    </w:p>
    <w:p>
      <w:pPr>
        <w:jc w:val="center"/>
        <w:rPr>
          <w:rFonts w:ascii="Arial" w:hAnsi="Arial" w:cs="Arial"/>
          <w:b/>
          <w:sz w:val="28"/>
        </w:rPr>
      </w:pPr>
      <w:r>
        <w:rPr>
          <w:rFonts w:ascii="Arial" w:hAnsi="Arial" w:cs="Arial"/>
          <w:b/>
          <w:sz w:val="28"/>
        </w:rPr>
        <w:t>类似业绩</w:t>
      </w:r>
    </w:p>
    <w:p>
      <w:pPr>
        <w:spacing w:line="360" w:lineRule="auto"/>
        <w:rPr>
          <w:rFonts w:ascii="Arial" w:hAnsi="Arial" w:cs="Arial"/>
          <w:szCs w:val="21"/>
        </w:rPr>
      </w:pPr>
      <w:r>
        <w:rPr>
          <w:rFonts w:ascii="Arial" w:hAnsi="Arial" w:cs="Arial"/>
          <w:szCs w:val="21"/>
        </w:rPr>
        <w:t>项目名称：</w:t>
      </w:r>
    </w:p>
    <w:p>
      <w:pPr>
        <w:spacing w:line="360" w:lineRule="auto"/>
        <w:rPr>
          <w:rFonts w:ascii="Arial" w:hAnsi="Arial" w:cs="Arial"/>
          <w:szCs w:val="21"/>
          <w:u w:val="single"/>
        </w:rPr>
      </w:pPr>
      <w:r>
        <w:rPr>
          <w:rFonts w:ascii="Arial" w:hAnsi="Arial" w:cs="Arial"/>
          <w:szCs w:val="21"/>
        </w:rPr>
        <w:t>招标编号：</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559"/>
        <w:gridCol w:w="1205"/>
        <w:gridCol w:w="1205"/>
        <w:gridCol w:w="1235"/>
        <w:gridCol w:w="1294"/>
        <w:gridCol w:w="871"/>
        <w:gridCol w:w="8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9" w:type="dxa"/>
            <w:vAlign w:val="center"/>
          </w:tcPr>
          <w:p>
            <w:pPr>
              <w:jc w:val="center"/>
              <w:rPr>
                <w:rFonts w:ascii="Arial" w:hAnsi="Arial" w:cs="Arial"/>
              </w:rPr>
            </w:pPr>
            <w:r>
              <w:rPr>
                <w:rFonts w:ascii="Arial" w:hAnsi="Arial" w:cs="Arial"/>
              </w:rPr>
              <w:t>序号</w:t>
            </w:r>
          </w:p>
        </w:tc>
        <w:tc>
          <w:tcPr>
            <w:tcW w:w="1559" w:type="dxa"/>
            <w:vAlign w:val="center"/>
          </w:tcPr>
          <w:p>
            <w:pPr>
              <w:jc w:val="center"/>
              <w:rPr>
                <w:rFonts w:ascii="Arial" w:hAnsi="Arial" w:cs="Arial"/>
              </w:rPr>
            </w:pPr>
            <w:r>
              <w:rPr>
                <w:rFonts w:ascii="Arial" w:hAnsi="Arial" w:cs="Arial"/>
              </w:rPr>
              <w:t>项目名称</w:t>
            </w:r>
          </w:p>
        </w:tc>
        <w:tc>
          <w:tcPr>
            <w:tcW w:w="1205" w:type="dxa"/>
            <w:vAlign w:val="center"/>
          </w:tcPr>
          <w:p>
            <w:pPr>
              <w:jc w:val="center"/>
              <w:rPr>
                <w:rFonts w:ascii="Arial" w:hAnsi="Arial" w:cs="Arial"/>
              </w:rPr>
            </w:pPr>
            <w:r>
              <w:rPr>
                <w:rFonts w:ascii="Arial" w:hAnsi="Arial" w:cs="Arial"/>
              </w:rPr>
              <w:t>委托单位</w:t>
            </w:r>
          </w:p>
        </w:tc>
        <w:tc>
          <w:tcPr>
            <w:tcW w:w="1205" w:type="dxa"/>
            <w:vAlign w:val="center"/>
          </w:tcPr>
          <w:p>
            <w:pPr>
              <w:jc w:val="center"/>
              <w:rPr>
                <w:rFonts w:ascii="Arial" w:hAnsi="Arial" w:cs="Arial"/>
              </w:rPr>
            </w:pPr>
            <w:r>
              <w:rPr>
                <w:rFonts w:ascii="Arial" w:hAnsi="Arial" w:cs="Arial"/>
              </w:rPr>
              <w:t>合同签订时间</w:t>
            </w:r>
          </w:p>
        </w:tc>
        <w:tc>
          <w:tcPr>
            <w:tcW w:w="1235" w:type="dxa"/>
            <w:vAlign w:val="center"/>
          </w:tcPr>
          <w:p>
            <w:pPr>
              <w:jc w:val="center"/>
              <w:rPr>
                <w:rFonts w:ascii="Arial" w:hAnsi="Arial" w:cs="Arial"/>
              </w:rPr>
            </w:pPr>
            <w:r>
              <w:rPr>
                <w:rFonts w:ascii="Arial" w:hAnsi="Arial" w:cs="Arial"/>
              </w:rPr>
              <w:t>规模指标</w:t>
            </w:r>
          </w:p>
        </w:tc>
        <w:tc>
          <w:tcPr>
            <w:tcW w:w="1294" w:type="dxa"/>
            <w:vAlign w:val="center"/>
          </w:tcPr>
          <w:p>
            <w:pPr>
              <w:jc w:val="center"/>
              <w:rPr>
                <w:rFonts w:ascii="Arial" w:hAnsi="Arial" w:cs="Arial"/>
              </w:rPr>
            </w:pPr>
            <w:r>
              <w:rPr>
                <w:rFonts w:ascii="Arial" w:hAnsi="Arial" w:cs="Arial"/>
              </w:rPr>
              <w:t>合同金额</w:t>
            </w:r>
          </w:p>
          <w:p>
            <w:pPr>
              <w:jc w:val="center"/>
              <w:rPr>
                <w:rFonts w:ascii="Arial" w:hAnsi="Arial" w:cs="Arial"/>
              </w:rPr>
            </w:pPr>
            <w:r>
              <w:rPr>
                <w:rFonts w:ascii="Arial" w:hAnsi="Arial" w:cs="Arial"/>
              </w:rPr>
              <w:t>(万元)</w:t>
            </w:r>
          </w:p>
        </w:tc>
        <w:tc>
          <w:tcPr>
            <w:tcW w:w="871" w:type="dxa"/>
            <w:vAlign w:val="center"/>
          </w:tcPr>
          <w:p>
            <w:pPr>
              <w:jc w:val="center"/>
              <w:rPr>
                <w:rFonts w:ascii="Arial" w:hAnsi="Arial" w:cs="Arial"/>
              </w:rPr>
            </w:pPr>
            <w:r>
              <w:rPr>
                <w:rFonts w:ascii="Arial" w:hAnsi="Arial" w:cs="Arial"/>
              </w:rPr>
              <w:t>服务成果或目前进度</w:t>
            </w:r>
          </w:p>
        </w:tc>
        <w:tc>
          <w:tcPr>
            <w:tcW w:w="872" w:type="dxa"/>
            <w:vAlign w:val="center"/>
          </w:tcPr>
          <w:p>
            <w:pPr>
              <w:jc w:val="center"/>
              <w:rPr>
                <w:rFonts w:ascii="Arial" w:hAnsi="Arial" w:cs="Arial"/>
              </w:rPr>
            </w:pPr>
            <w:r>
              <w:rPr>
                <w:rFonts w:ascii="Arial" w:hAnsi="Arial" w:cs="Arial"/>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09" w:type="dxa"/>
            <w:vAlign w:val="center"/>
          </w:tcPr>
          <w:p>
            <w:pPr>
              <w:spacing w:line="500" w:lineRule="exact"/>
              <w:jc w:val="center"/>
              <w:rPr>
                <w:rFonts w:ascii="Arial" w:hAnsi="Arial" w:cs="Arial"/>
              </w:rPr>
            </w:pPr>
            <w:r>
              <w:rPr>
                <w:rFonts w:ascii="Arial" w:hAnsi="Arial" w:cs="Arial"/>
              </w:rPr>
              <w:t>1</w:t>
            </w:r>
          </w:p>
        </w:tc>
        <w:tc>
          <w:tcPr>
            <w:tcW w:w="1559" w:type="dxa"/>
            <w:vAlign w:val="center"/>
          </w:tcPr>
          <w:p>
            <w:pPr>
              <w:spacing w:line="500" w:lineRule="exact"/>
              <w:jc w:val="center"/>
              <w:rPr>
                <w:rFonts w:ascii="Arial" w:hAnsi="Arial" w:cs="Arial"/>
              </w:rPr>
            </w:pPr>
          </w:p>
        </w:tc>
        <w:tc>
          <w:tcPr>
            <w:tcW w:w="1205" w:type="dxa"/>
            <w:vAlign w:val="center"/>
          </w:tcPr>
          <w:p>
            <w:pPr>
              <w:spacing w:line="500" w:lineRule="exact"/>
              <w:jc w:val="center"/>
              <w:rPr>
                <w:rFonts w:ascii="Arial" w:hAnsi="Arial" w:cs="Arial"/>
              </w:rPr>
            </w:pPr>
          </w:p>
        </w:tc>
        <w:tc>
          <w:tcPr>
            <w:tcW w:w="1205" w:type="dxa"/>
            <w:vAlign w:val="center"/>
          </w:tcPr>
          <w:p>
            <w:pPr>
              <w:spacing w:line="500" w:lineRule="exact"/>
              <w:jc w:val="center"/>
              <w:rPr>
                <w:rFonts w:ascii="Arial" w:hAnsi="Arial" w:cs="Arial"/>
              </w:rPr>
            </w:pPr>
          </w:p>
        </w:tc>
        <w:tc>
          <w:tcPr>
            <w:tcW w:w="1235" w:type="dxa"/>
            <w:vAlign w:val="center"/>
          </w:tcPr>
          <w:p>
            <w:pPr>
              <w:spacing w:line="500" w:lineRule="exact"/>
              <w:jc w:val="center"/>
              <w:rPr>
                <w:rFonts w:ascii="Arial" w:hAnsi="Arial" w:cs="Arial"/>
              </w:rPr>
            </w:pPr>
          </w:p>
        </w:tc>
        <w:tc>
          <w:tcPr>
            <w:tcW w:w="1294" w:type="dxa"/>
          </w:tcPr>
          <w:p>
            <w:pPr>
              <w:spacing w:line="500" w:lineRule="exact"/>
              <w:jc w:val="center"/>
              <w:rPr>
                <w:rFonts w:ascii="Arial" w:hAnsi="Arial" w:cs="Arial"/>
              </w:rPr>
            </w:pPr>
          </w:p>
        </w:tc>
        <w:tc>
          <w:tcPr>
            <w:tcW w:w="871" w:type="dxa"/>
            <w:vAlign w:val="center"/>
          </w:tcPr>
          <w:p>
            <w:pPr>
              <w:jc w:val="center"/>
              <w:rPr>
                <w:rFonts w:ascii="Arial" w:hAnsi="Arial" w:cs="Arial"/>
              </w:rPr>
            </w:pPr>
          </w:p>
        </w:tc>
        <w:tc>
          <w:tcPr>
            <w:tcW w:w="872" w:type="dxa"/>
            <w:vAlign w:val="center"/>
          </w:tcPr>
          <w:p>
            <w:pPr>
              <w:spacing w:line="5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09" w:type="dxa"/>
            <w:vAlign w:val="center"/>
          </w:tcPr>
          <w:p>
            <w:pPr>
              <w:spacing w:line="500" w:lineRule="exact"/>
              <w:jc w:val="center"/>
              <w:rPr>
                <w:rFonts w:ascii="Arial" w:hAnsi="Arial" w:cs="Arial"/>
              </w:rPr>
            </w:pPr>
            <w:r>
              <w:rPr>
                <w:rFonts w:ascii="Arial" w:hAnsi="Arial" w:cs="Arial"/>
              </w:rPr>
              <w:t>2</w:t>
            </w:r>
          </w:p>
        </w:tc>
        <w:tc>
          <w:tcPr>
            <w:tcW w:w="1559" w:type="dxa"/>
            <w:vAlign w:val="center"/>
          </w:tcPr>
          <w:p>
            <w:pPr>
              <w:spacing w:line="500" w:lineRule="exact"/>
              <w:jc w:val="center"/>
              <w:rPr>
                <w:rFonts w:ascii="Arial" w:hAnsi="Arial" w:cs="Arial"/>
              </w:rPr>
            </w:pPr>
          </w:p>
        </w:tc>
        <w:tc>
          <w:tcPr>
            <w:tcW w:w="1205" w:type="dxa"/>
            <w:vAlign w:val="center"/>
          </w:tcPr>
          <w:p>
            <w:pPr>
              <w:spacing w:line="500" w:lineRule="exact"/>
              <w:jc w:val="center"/>
              <w:rPr>
                <w:rFonts w:ascii="Arial" w:hAnsi="Arial" w:cs="Arial"/>
              </w:rPr>
            </w:pPr>
          </w:p>
        </w:tc>
        <w:tc>
          <w:tcPr>
            <w:tcW w:w="1205" w:type="dxa"/>
            <w:vAlign w:val="center"/>
          </w:tcPr>
          <w:p>
            <w:pPr>
              <w:spacing w:line="500" w:lineRule="exact"/>
              <w:jc w:val="center"/>
              <w:rPr>
                <w:rFonts w:ascii="Arial" w:hAnsi="Arial" w:cs="Arial"/>
              </w:rPr>
            </w:pPr>
          </w:p>
        </w:tc>
        <w:tc>
          <w:tcPr>
            <w:tcW w:w="1235" w:type="dxa"/>
            <w:vAlign w:val="center"/>
          </w:tcPr>
          <w:p>
            <w:pPr>
              <w:spacing w:line="500" w:lineRule="exact"/>
              <w:jc w:val="center"/>
              <w:rPr>
                <w:rFonts w:ascii="Arial" w:hAnsi="Arial" w:cs="Arial"/>
              </w:rPr>
            </w:pPr>
          </w:p>
        </w:tc>
        <w:tc>
          <w:tcPr>
            <w:tcW w:w="1294" w:type="dxa"/>
          </w:tcPr>
          <w:p>
            <w:pPr>
              <w:spacing w:line="500" w:lineRule="exact"/>
              <w:jc w:val="center"/>
              <w:rPr>
                <w:rFonts w:ascii="Arial" w:hAnsi="Arial" w:cs="Arial"/>
              </w:rPr>
            </w:pPr>
          </w:p>
        </w:tc>
        <w:tc>
          <w:tcPr>
            <w:tcW w:w="871" w:type="dxa"/>
            <w:vAlign w:val="center"/>
          </w:tcPr>
          <w:p>
            <w:pPr>
              <w:spacing w:line="500" w:lineRule="exact"/>
              <w:jc w:val="center"/>
              <w:rPr>
                <w:rFonts w:ascii="Arial" w:hAnsi="Arial" w:cs="Arial"/>
              </w:rPr>
            </w:pPr>
          </w:p>
        </w:tc>
        <w:tc>
          <w:tcPr>
            <w:tcW w:w="872" w:type="dxa"/>
            <w:vAlign w:val="center"/>
          </w:tcPr>
          <w:p>
            <w:pPr>
              <w:spacing w:line="5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09" w:type="dxa"/>
            <w:vAlign w:val="center"/>
          </w:tcPr>
          <w:p>
            <w:pPr>
              <w:spacing w:line="500" w:lineRule="exact"/>
              <w:jc w:val="center"/>
              <w:rPr>
                <w:rFonts w:ascii="Arial" w:hAnsi="Arial" w:cs="Arial"/>
              </w:rPr>
            </w:pPr>
            <w:r>
              <w:rPr>
                <w:rFonts w:ascii="Arial" w:hAnsi="Arial" w:cs="Arial"/>
              </w:rPr>
              <w:t>...</w:t>
            </w:r>
          </w:p>
        </w:tc>
        <w:tc>
          <w:tcPr>
            <w:tcW w:w="1559" w:type="dxa"/>
            <w:vAlign w:val="center"/>
          </w:tcPr>
          <w:p>
            <w:pPr>
              <w:spacing w:line="500" w:lineRule="exact"/>
              <w:jc w:val="center"/>
              <w:rPr>
                <w:rFonts w:ascii="Arial" w:hAnsi="Arial" w:cs="Arial"/>
              </w:rPr>
            </w:pPr>
          </w:p>
        </w:tc>
        <w:tc>
          <w:tcPr>
            <w:tcW w:w="1205" w:type="dxa"/>
            <w:vAlign w:val="center"/>
          </w:tcPr>
          <w:p>
            <w:pPr>
              <w:spacing w:line="500" w:lineRule="exact"/>
              <w:jc w:val="center"/>
              <w:rPr>
                <w:rFonts w:ascii="Arial" w:hAnsi="Arial" w:cs="Arial"/>
              </w:rPr>
            </w:pPr>
          </w:p>
        </w:tc>
        <w:tc>
          <w:tcPr>
            <w:tcW w:w="1205" w:type="dxa"/>
            <w:vAlign w:val="center"/>
          </w:tcPr>
          <w:p>
            <w:pPr>
              <w:spacing w:line="500" w:lineRule="exact"/>
              <w:jc w:val="center"/>
              <w:rPr>
                <w:rFonts w:ascii="Arial" w:hAnsi="Arial" w:cs="Arial"/>
              </w:rPr>
            </w:pPr>
          </w:p>
        </w:tc>
        <w:tc>
          <w:tcPr>
            <w:tcW w:w="1235" w:type="dxa"/>
            <w:vAlign w:val="center"/>
          </w:tcPr>
          <w:p>
            <w:pPr>
              <w:spacing w:line="500" w:lineRule="exact"/>
              <w:jc w:val="center"/>
              <w:rPr>
                <w:rFonts w:ascii="Arial" w:hAnsi="Arial" w:cs="Arial"/>
              </w:rPr>
            </w:pPr>
          </w:p>
        </w:tc>
        <w:tc>
          <w:tcPr>
            <w:tcW w:w="1294" w:type="dxa"/>
          </w:tcPr>
          <w:p>
            <w:pPr>
              <w:spacing w:line="500" w:lineRule="exact"/>
              <w:jc w:val="center"/>
              <w:rPr>
                <w:rFonts w:ascii="Arial" w:hAnsi="Arial" w:cs="Arial"/>
              </w:rPr>
            </w:pPr>
          </w:p>
        </w:tc>
        <w:tc>
          <w:tcPr>
            <w:tcW w:w="871" w:type="dxa"/>
            <w:vAlign w:val="center"/>
          </w:tcPr>
          <w:p>
            <w:pPr>
              <w:spacing w:line="500" w:lineRule="exact"/>
              <w:jc w:val="center"/>
              <w:rPr>
                <w:rFonts w:ascii="Arial" w:hAnsi="Arial" w:cs="Arial"/>
              </w:rPr>
            </w:pPr>
          </w:p>
        </w:tc>
        <w:tc>
          <w:tcPr>
            <w:tcW w:w="872" w:type="dxa"/>
            <w:vAlign w:val="center"/>
          </w:tcPr>
          <w:p>
            <w:pPr>
              <w:spacing w:line="5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09" w:type="dxa"/>
            <w:vAlign w:val="center"/>
          </w:tcPr>
          <w:p>
            <w:pPr>
              <w:spacing w:line="500" w:lineRule="exact"/>
              <w:jc w:val="center"/>
              <w:rPr>
                <w:rFonts w:ascii="Arial" w:hAnsi="Arial" w:cs="Arial"/>
              </w:rPr>
            </w:pPr>
          </w:p>
        </w:tc>
        <w:tc>
          <w:tcPr>
            <w:tcW w:w="1559" w:type="dxa"/>
            <w:vAlign w:val="center"/>
          </w:tcPr>
          <w:p>
            <w:pPr>
              <w:spacing w:line="500" w:lineRule="exact"/>
              <w:jc w:val="center"/>
              <w:rPr>
                <w:rFonts w:ascii="Arial" w:hAnsi="Arial" w:cs="Arial"/>
              </w:rPr>
            </w:pPr>
          </w:p>
        </w:tc>
        <w:tc>
          <w:tcPr>
            <w:tcW w:w="1205" w:type="dxa"/>
            <w:vAlign w:val="center"/>
          </w:tcPr>
          <w:p>
            <w:pPr>
              <w:spacing w:line="500" w:lineRule="exact"/>
              <w:jc w:val="center"/>
              <w:rPr>
                <w:rFonts w:ascii="Arial" w:hAnsi="Arial" w:cs="Arial"/>
              </w:rPr>
            </w:pPr>
          </w:p>
        </w:tc>
        <w:tc>
          <w:tcPr>
            <w:tcW w:w="1205" w:type="dxa"/>
            <w:vAlign w:val="center"/>
          </w:tcPr>
          <w:p>
            <w:pPr>
              <w:spacing w:line="500" w:lineRule="exact"/>
              <w:jc w:val="center"/>
              <w:rPr>
                <w:rFonts w:ascii="Arial" w:hAnsi="Arial" w:cs="Arial"/>
              </w:rPr>
            </w:pPr>
          </w:p>
        </w:tc>
        <w:tc>
          <w:tcPr>
            <w:tcW w:w="1235" w:type="dxa"/>
            <w:vAlign w:val="center"/>
          </w:tcPr>
          <w:p>
            <w:pPr>
              <w:spacing w:line="500" w:lineRule="exact"/>
              <w:jc w:val="center"/>
              <w:rPr>
                <w:rFonts w:ascii="Arial" w:hAnsi="Arial" w:cs="Arial"/>
              </w:rPr>
            </w:pPr>
          </w:p>
        </w:tc>
        <w:tc>
          <w:tcPr>
            <w:tcW w:w="1294" w:type="dxa"/>
          </w:tcPr>
          <w:p>
            <w:pPr>
              <w:spacing w:line="500" w:lineRule="exact"/>
              <w:jc w:val="center"/>
              <w:rPr>
                <w:rFonts w:ascii="Arial" w:hAnsi="Arial" w:cs="Arial"/>
              </w:rPr>
            </w:pPr>
          </w:p>
        </w:tc>
        <w:tc>
          <w:tcPr>
            <w:tcW w:w="871" w:type="dxa"/>
            <w:vAlign w:val="center"/>
          </w:tcPr>
          <w:p>
            <w:pPr>
              <w:spacing w:line="500" w:lineRule="exact"/>
              <w:jc w:val="center"/>
              <w:rPr>
                <w:rFonts w:ascii="Arial" w:hAnsi="Arial" w:cs="Arial"/>
              </w:rPr>
            </w:pPr>
          </w:p>
        </w:tc>
        <w:tc>
          <w:tcPr>
            <w:tcW w:w="872" w:type="dxa"/>
            <w:vAlign w:val="center"/>
          </w:tcPr>
          <w:p>
            <w:pPr>
              <w:spacing w:line="5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09" w:type="dxa"/>
            <w:vAlign w:val="center"/>
          </w:tcPr>
          <w:p>
            <w:pPr>
              <w:spacing w:line="500" w:lineRule="exact"/>
              <w:jc w:val="center"/>
              <w:rPr>
                <w:rFonts w:ascii="Arial" w:hAnsi="Arial" w:cs="Arial"/>
              </w:rPr>
            </w:pPr>
          </w:p>
        </w:tc>
        <w:tc>
          <w:tcPr>
            <w:tcW w:w="1559" w:type="dxa"/>
            <w:vAlign w:val="center"/>
          </w:tcPr>
          <w:p>
            <w:pPr>
              <w:spacing w:line="500" w:lineRule="exact"/>
              <w:jc w:val="center"/>
              <w:rPr>
                <w:rFonts w:ascii="Arial" w:hAnsi="Arial" w:cs="Arial"/>
              </w:rPr>
            </w:pPr>
          </w:p>
        </w:tc>
        <w:tc>
          <w:tcPr>
            <w:tcW w:w="1205" w:type="dxa"/>
            <w:vAlign w:val="center"/>
          </w:tcPr>
          <w:p>
            <w:pPr>
              <w:spacing w:line="500" w:lineRule="exact"/>
              <w:jc w:val="center"/>
              <w:rPr>
                <w:rFonts w:ascii="Arial" w:hAnsi="Arial" w:cs="Arial"/>
              </w:rPr>
            </w:pPr>
          </w:p>
        </w:tc>
        <w:tc>
          <w:tcPr>
            <w:tcW w:w="1205" w:type="dxa"/>
            <w:vAlign w:val="center"/>
          </w:tcPr>
          <w:p>
            <w:pPr>
              <w:spacing w:line="500" w:lineRule="exact"/>
              <w:jc w:val="center"/>
              <w:rPr>
                <w:rFonts w:ascii="Arial" w:hAnsi="Arial" w:cs="Arial"/>
              </w:rPr>
            </w:pPr>
          </w:p>
        </w:tc>
        <w:tc>
          <w:tcPr>
            <w:tcW w:w="1235" w:type="dxa"/>
            <w:vAlign w:val="center"/>
          </w:tcPr>
          <w:p>
            <w:pPr>
              <w:spacing w:line="500" w:lineRule="exact"/>
              <w:jc w:val="center"/>
              <w:rPr>
                <w:rFonts w:ascii="Arial" w:hAnsi="Arial" w:cs="Arial"/>
              </w:rPr>
            </w:pPr>
          </w:p>
        </w:tc>
        <w:tc>
          <w:tcPr>
            <w:tcW w:w="1294" w:type="dxa"/>
          </w:tcPr>
          <w:p>
            <w:pPr>
              <w:spacing w:line="500" w:lineRule="exact"/>
              <w:jc w:val="center"/>
              <w:rPr>
                <w:rFonts w:ascii="Arial" w:hAnsi="Arial" w:cs="Arial"/>
              </w:rPr>
            </w:pPr>
          </w:p>
        </w:tc>
        <w:tc>
          <w:tcPr>
            <w:tcW w:w="871" w:type="dxa"/>
            <w:vAlign w:val="center"/>
          </w:tcPr>
          <w:p>
            <w:pPr>
              <w:spacing w:line="500" w:lineRule="exact"/>
              <w:jc w:val="center"/>
              <w:rPr>
                <w:rFonts w:ascii="Arial" w:hAnsi="Arial" w:cs="Arial"/>
              </w:rPr>
            </w:pPr>
          </w:p>
        </w:tc>
        <w:tc>
          <w:tcPr>
            <w:tcW w:w="872" w:type="dxa"/>
            <w:vAlign w:val="center"/>
          </w:tcPr>
          <w:p>
            <w:pPr>
              <w:spacing w:line="5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09" w:type="dxa"/>
            <w:vAlign w:val="center"/>
          </w:tcPr>
          <w:p>
            <w:pPr>
              <w:spacing w:line="500" w:lineRule="exact"/>
              <w:jc w:val="center"/>
              <w:rPr>
                <w:rFonts w:ascii="Arial" w:hAnsi="Arial" w:cs="Arial"/>
              </w:rPr>
            </w:pPr>
          </w:p>
        </w:tc>
        <w:tc>
          <w:tcPr>
            <w:tcW w:w="1559" w:type="dxa"/>
            <w:vAlign w:val="center"/>
          </w:tcPr>
          <w:p>
            <w:pPr>
              <w:spacing w:line="500" w:lineRule="exact"/>
              <w:jc w:val="center"/>
              <w:rPr>
                <w:rFonts w:ascii="Arial" w:hAnsi="Arial" w:cs="Arial"/>
              </w:rPr>
            </w:pPr>
          </w:p>
        </w:tc>
        <w:tc>
          <w:tcPr>
            <w:tcW w:w="1205" w:type="dxa"/>
            <w:vAlign w:val="center"/>
          </w:tcPr>
          <w:p>
            <w:pPr>
              <w:spacing w:line="500" w:lineRule="exact"/>
              <w:jc w:val="center"/>
              <w:rPr>
                <w:rFonts w:ascii="Arial" w:hAnsi="Arial" w:cs="Arial"/>
              </w:rPr>
            </w:pPr>
          </w:p>
        </w:tc>
        <w:tc>
          <w:tcPr>
            <w:tcW w:w="1205" w:type="dxa"/>
            <w:vAlign w:val="center"/>
          </w:tcPr>
          <w:p>
            <w:pPr>
              <w:spacing w:line="500" w:lineRule="exact"/>
              <w:jc w:val="center"/>
              <w:rPr>
                <w:rFonts w:ascii="Arial" w:hAnsi="Arial" w:cs="Arial"/>
              </w:rPr>
            </w:pPr>
          </w:p>
        </w:tc>
        <w:tc>
          <w:tcPr>
            <w:tcW w:w="1235" w:type="dxa"/>
            <w:vAlign w:val="center"/>
          </w:tcPr>
          <w:p>
            <w:pPr>
              <w:spacing w:line="500" w:lineRule="exact"/>
              <w:jc w:val="center"/>
              <w:rPr>
                <w:rFonts w:ascii="Arial" w:hAnsi="Arial" w:cs="Arial"/>
              </w:rPr>
            </w:pPr>
          </w:p>
        </w:tc>
        <w:tc>
          <w:tcPr>
            <w:tcW w:w="1294" w:type="dxa"/>
          </w:tcPr>
          <w:p>
            <w:pPr>
              <w:spacing w:line="500" w:lineRule="exact"/>
              <w:jc w:val="center"/>
              <w:rPr>
                <w:rFonts w:ascii="Arial" w:hAnsi="Arial" w:cs="Arial"/>
              </w:rPr>
            </w:pPr>
          </w:p>
        </w:tc>
        <w:tc>
          <w:tcPr>
            <w:tcW w:w="871" w:type="dxa"/>
            <w:vAlign w:val="center"/>
          </w:tcPr>
          <w:p>
            <w:pPr>
              <w:spacing w:line="500" w:lineRule="exact"/>
              <w:jc w:val="center"/>
              <w:rPr>
                <w:rFonts w:ascii="Arial" w:hAnsi="Arial" w:cs="Arial"/>
              </w:rPr>
            </w:pPr>
          </w:p>
        </w:tc>
        <w:tc>
          <w:tcPr>
            <w:tcW w:w="872" w:type="dxa"/>
            <w:vAlign w:val="center"/>
          </w:tcPr>
          <w:p>
            <w:pPr>
              <w:spacing w:line="5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8950" w:type="dxa"/>
            <w:gridSpan w:val="8"/>
            <w:vAlign w:val="center"/>
          </w:tcPr>
          <w:p>
            <w:pPr>
              <w:spacing w:line="500" w:lineRule="exact"/>
              <w:jc w:val="left"/>
              <w:rPr>
                <w:rFonts w:ascii="Arial" w:hAnsi="Arial" w:cs="Arial"/>
              </w:rPr>
            </w:pPr>
          </w:p>
        </w:tc>
      </w:tr>
    </w:tbl>
    <w:p>
      <w:pPr>
        <w:spacing w:line="360" w:lineRule="auto"/>
        <w:rPr>
          <w:rFonts w:ascii="Arial" w:hAnsi="Arial" w:cs="Arial"/>
          <w:kern w:val="0"/>
          <w:szCs w:val="21"/>
        </w:rPr>
      </w:pPr>
      <w:r>
        <w:rPr>
          <w:rFonts w:ascii="Arial" w:hAnsi="Arial" w:cs="Arial"/>
          <w:kern w:val="0"/>
          <w:szCs w:val="21"/>
        </w:rPr>
        <w:t xml:space="preserve">注： </w:t>
      </w:r>
    </w:p>
    <w:p>
      <w:pPr>
        <w:spacing w:line="360" w:lineRule="auto"/>
        <w:ind w:firstLine="420" w:firstLineChars="200"/>
        <w:rPr>
          <w:rFonts w:ascii="Arial" w:hAnsi="Arial" w:cs="Arial"/>
          <w:kern w:val="0"/>
          <w:szCs w:val="21"/>
        </w:rPr>
      </w:pPr>
      <w:r>
        <w:rPr>
          <w:rFonts w:ascii="Arial" w:hAnsi="Arial" w:cs="Arial"/>
          <w:kern w:val="0"/>
          <w:szCs w:val="21"/>
        </w:rPr>
        <w:t>1、投标人如有未如实填报本表或填报本表的数据与事实不符、故意隐瞒以及其他弄虚作假行为一经查实，该投标文件作否决投标处理。</w:t>
      </w:r>
    </w:p>
    <w:p>
      <w:pPr>
        <w:spacing w:line="360" w:lineRule="exact"/>
        <w:ind w:firstLine="420" w:firstLineChars="200"/>
        <w:rPr>
          <w:rFonts w:ascii="Arial" w:hAnsi="Arial" w:cs="Arial"/>
          <w:kern w:val="0"/>
          <w:szCs w:val="21"/>
        </w:rPr>
      </w:pPr>
    </w:p>
    <w:p>
      <w:pPr>
        <w:ind w:firstLine="240" w:firstLineChars="100"/>
        <w:rPr>
          <w:rFonts w:ascii="Arial" w:hAnsi="Arial" w:cs="Arial"/>
          <w:sz w:val="24"/>
        </w:rPr>
      </w:pPr>
    </w:p>
    <w:p>
      <w:pPr>
        <w:ind w:firstLine="2415" w:firstLineChars="1150"/>
        <w:rPr>
          <w:rFonts w:ascii="Arial" w:hAnsi="Arial" w:cs="Arial"/>
          <w:szCs w:val="21"/>
        </w:rPr>
      </w:pPr>
    </w:p>
    <w:p>
      <w:pPr>
        <w:spacing w:line="300" w:lineRule="auto"/>
        <w:rPr>
          <w:rFonts w:ascii="Arial" w:hAnsi="Arial" w:cs="Arial"/>
          <w:szCs w:val="21"/>
        </w:rPr>
      </w:pPr>
    </w:p>
    <w:p>
      <w:pPr>
        <w:adjustRightInd w:val="0"/>
        <w:snapToGrid w:val="0"/>
        <w:spacing w:line="360" w:lineRule="auto"/>
        <w:rPr>
          <w:rFonts w:ascii="Arial" w:hAnsi="Arial" w:cs="Arial"/>
        </w:rPr>
      </w:pPr>
      <w:r>
        <w:rPr>
          <w:rFonts w:ascii="Arial" w:hAnsi="Arial" w:cs="Arial"/>
        </w:rPr>
        <w:t xml:space="preserve">投标人：（盖章）       </w:t>
      </w:r>
    </w:p>
    <w:p>
      <w:pPr>
        <w:adjustRightInd w:val="0"/>
        <w:snapToGrid w:val="0"/>
        <w:spacing w:line="360" w:lineRule="auto"/>
        <w:rPr>
          <w:rFonts w:ascii="Arial" w:hAnsi="Arial" w:cs="Arial"/>
        </w:rPr>
      </w:pPr>
    </w:p>
    <w:p>
      <w:pPr>
        <w:adjustRightInd w:val="0"/>
        <w:snapToGrid w:val="0"/>
        <w:spacing w:line="360" w:lineRule="auto"/>
        <w:rPr>
          <w:rFonts w:ascii="Arial" w:hAnsi="Arial" w:cs="Arial"/>
        </w:rPr>
      </w:pPr>
      <w:r>
        <w:rPr>
          <w:rFonts w:ascii="Arial" w:hAnsi="Arial" w:cs="Arial"/>
        </w:rPr>
        <w:t>法定代表人或其授权代表：（签字或盖章）</w:t>
      </w:r>
    </w:p>
    <w:p>
      <w:pPr>
        <w:spacing w:line="480" w:lineRule="auto"/>
        <w:jc w:val="left"/>
        <w:rPr>
          <w:b/>
          <w:spacing w:val="40"/>
          <w:sz w:val="36"/>
        </w:rPr>
      </w:pPr>
      <w:r>
        <w:rPr>
          <w:rFonts w:ascii="Arial" w:hAnsi="Arial" w:cs="Arial"/>
        </w:rPr>
        <w:t>日期：</w:t>
      </w:r>
      <w:r>
        <w:rPr>
          <w:rFonts w:ascii="Arial" w:hAnsi="Arial" w:cs="Arial"/>
        </w:rPr>
        <w:br w:type="page"/>
      </w:r>
    </w:p>
    <w:p>
      <w:pPr>
        <w:spacing w:line="480" w:lineRule="auto"/>
        <w:jc w:val="left"/>
        <w:rPr>
          <w:rFonts w:ascii="仿宋_GB2312" w:eastAsia="仿宋_GB2312"/>
          <w:b/>
          <w:spacing w:val="-2"/>
          <w:sz w:val="30"/>
        </w:rPr>
      </w:pPr>
      <w:r>
        <w:rPr>
          <w:rStyle w:val="13"/>
          <w:rFonts w:hint="eastAsia" w:ascii="仿宋_GB2312" w:eastAsia="仿宋_GB2312"/>
          <w:sz w:val="30"/>
        </w:rPr>
        <w:t>附件七</w:t>
      </w:r>
    </w:p>
    <w:p>
      <w:pPr>
        <w:jc w:val="center"/>
        <w:rPr>
          <w:b/>
          <w:spacing w:val="40"/>
          <w:sz w:val="36"/>
        </w:rPr>
      </w:pPr>
      <w:r>
        <w:rPr>
          <w:rFonts w:hint="eastAsia"/>
          <w:b/>
          <w:spacing w:val="40"/>
          <w:sz w:val="36"/>
        </w:rPr>
        <w:t>招标要求偏离说明表</w:t>
      </w:r>
      <w:bookmarkEnd w:id="48"/>
    </w:p>
    <w:p/>
    <w:p>
      <w:pPr>
        <w:spacing w:line="360" w:lineRule="auto"/>
        <w:rPr>
          <w:rFonts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名称</w:t>
            </w:r>
          </w:p>
        </w:tc>
        <w:tc>
          <w:tcPr>
            <w:tcW w:w="136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投标文件响应</w:t>
            </w:r>
          </w:p>
        </w:tc>
        <w:tc>
          <w:tcPr>
            <w:tcW w:w="724" w:type="pct"/>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643" w:type="pct"/>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sz w:val="24"/>
              </w:rPr>
            </w:pPr>
          </w:p>
        </w:tc>
        <w:tc>
          <w:tcPr>
            <w:tcW w:w="804" w:type="pct"/>
            <w:tcBorders>
              <w:left w:val="single" w:color="auto" w:sz="4" w:space="0"/>
              <w:bottom w:val="single" w:color="auto" w:sz="4" w:space="0"/>
            </w:tcBorders>
          </w:tcPr>
          <w:p>
            <w:pPr>
              <w:jc w:val="center"/>
              <w:rPr>
                <w:rFonts w:ascii="宋体" w:hAnsi="宋体"/>
                <w:sz w:val="24"/>
              </w:rPr>
            </w:pPr>
          </w:p>
        </w:tc>
        <w:tc>
          <w:tcPr>
            <w:tcW w:w="1367" w:type="pct"/>
            <w:tcBorders>
              <w:bottom w:val="single" w:color="auto" w:sz="4" w:space="0"/>
              <w:right w:val="single" w:color="auto" w:sz="4" w:space="0"/>
            </w:tcBorders>
          </w:tcPr>
          <w:p>
            <w:pPr>
              <w:jc w:val="center"/>
              <w:rPr>
                <w:rFonts w:ascii="宋体" w:hAnsi="宋体"/>
                <w:sz w:val="24"/>
              </w:rPr>
            </w:pPr>
          </w:p>
        </w:tc>
        <w:tc>
          <w:tcPr>
            <w:tcW w:w="1125" w:type="pct"/>
            <w:tcBorders>
              <w:left w:val="single" w:color="auto" w:sz="4" w:space="0"/>
              <w:bottom w:val="single" w:color="auto" w:sz="4" w:space="0"/>
            </w:tcBorders>
          </w:tcPr>
          <w:p>
            <w:pPr>
              <w:jc w:val="center"/>
              <w:rPr>
                <w:rFonts w:ascii="宋体" w:hAnsi="宋体"/>
                <w:sz w:val="24"/>
              </w:rPr>
            </w:pPr>
          </w:p>
        </w:tc>
        <w:tc>
          <w:tcPr>
            <w:tcW w:w="724" w:type="pct"/>
            <w:tcBorders>
              <w:bottom w:val="single" w:color="auto" w:sz="4" w:space="0"/>
            </w:tcBorders>
          </w:tcPr>
          <w:p>
            <w:pPr>
              <w:jc w:val="center"/>
              <w:rPr>
                <w:rFonts w:ascii="宋体" w:hAnsi="宋体"/>
                <w:sz w:val="24"/>
              </w:rPr>
            </w:pPr>
          </w:p>
        </w:tc>
        <w:tc>
          <w:tcPr>
            <w:tcW w:w="643" w:type="pct"/>
            <w:tcBorders>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tcBorders>
          </w:tcPr>
          <w:p>
            <w:pPr>
              <w:jc w:val="center"/>
              <w:rPr>
                <w:rFonts w:ascii="宋体" w:hAnsi="宋体"/>
                <w:sz w:val="24"/>
              </w:rPr>
            </w:pPr>
          </w:p>
        </w:tc>
        <w:tc>
          <w:tcPr>
            <w:tcW w:w="1367" w:type="pct"/>
            <w:tcBorders>
              <w:top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tcBorders>
          </w:tcPr>
          <w:p>
            <w:pPr>
              <w:jc w:val="center"/>
              <w:rPr>
                <w:rFonts w:ascii="宋体" w:hAnsi="宋体"/>
                <w:sz w:val="24"/>
              </w:rPr>
            </w:pPr>
          </w:p>
        </w:tc>
        <w:tc>
          <w:tcPr>
            <w:tcW w:w="724" w:type="pct"/>
            <w:tcBorders>
              <w:top w:val="single" w:color="auto" w:sz="4" w:space="0"/>
            </w:tcBorders>
          </w:tcPr>
          <w:p>
            <w:pPr>
              <w:jc w:val="center"/>
              <w:rPr>
                <w:rFonts w:ascii="宋体" w:hAnsi="宋体"/>
                <w:sz w:val="24"/>
              </w:rPr>
            </w:pPr>
          </w:p>
        </w:tc>
        <w:tc>
          <w:tcPr>
            <w:tcW w:w="643" w:type="pct"/>
            <w:tcBorders>
              <w:top w:val="single" w:color="auto" w:sz="4" w:space="0"/>
            </w:tcBorders>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Lines="100" w:line="540" w:lineRule="exact"/>
        <w:ind w:left="539" w:firstLine="28"/>
        <w:rPr>
          <w:rFonts w:ascii="宋体" w:hAnsi="宋体"/>
          <w:sz w:val="24"/>
        </w:rPr>
      </w:pPr>
    </w:p>
    <w:p>
      <w:pPr>
        <w:spacing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tabs>
          <w:tab w:val="left" w:pos="5299"/>
        </w:tabs>
        <w:rPr>
          <w:b/>
          <w:sz w:val="30"/>
        </w:rPr>
      </w:pPr>
      <w:r>
        <w:rPr>
          <w:b/>
          <w:sz w:val="30"/>
        </w:rPr>
        <w:tab/>
      </w:r>
    </w:p>
    <w:p>
      <w:pPr>
        <w:spacing w:line="480" w:lineRule="auto"/>
        <w:jc w:val="left"/>
        <w:rPr>
          <w:rFonts w:ascii="仿宋_GB2312" w:eastAsia="仿宋_GB2312"/>
          <w:b/>
          <w:spacing w:val="-2"/>
          <w:sz w:val="30"/>
        </w:rPr>
      </w:pPr>
      <w:r>
        <w:rPr>
          <w:rStyle w:val="13"/>
          <w:rFonts w:hint="eastAsia" w:ascii="仿宋_GB2312" w:eastAsia="仿宋_GB2312"/>
          <w:sz w:val="30"/>
        </w:rPr>
        <w:t>附件八</w:t>
      </w:r>
    </w:p>
    <w:p>
      <w:pPr>
        <w:jc w:val="center"/>
        <w:rPr>
          <w:rFonts w:ascii="Arial" w:hAnsi="Arial" w:cs="Arial"/>
          <w:b/>
          <w:sz w:val="28"/>
        </w:rPr>
      </w:pPr>
      <w:r>
        <w:rPr>
          <w:rFonts w:ascii="Arial" w:hAnsi="Arial" w:cs="Arial"/>
          <w:b/>
          <w:sz w:val="28"/>
        </w:rPr>
        <w:t>投标人检测服务方案</w:t>
      </w:r>
    </w:p>
    <w:p>
      <w:pPr>
        <w:ind w:firstLine="3120" w:firstLineChars="1300"/>
        <w:rPr>
          <w:rFonts w:ascii="Arial" w:hAnsi="Arial" w:cs="Arial"/>
          <w:sz w:val="24"/>
        </w:rPr>
      </w:pPr>
    </w:p>
    <w:p>
      <w:pPr>
        <w:adjustRightInd w:val="0"/>
        <w:snapToGrid w:val="0"/>
        <w:spacing w:line="360" w:lineRule="auto"/>
        <w:ind w:left="428" w:leftChars="204" w:right="-185" w:rightChars="-88" w:firstLine="840" w:firstLineChars="400"/>
        <w:rPr>
          <w:rFonts w:ascii="Arial" w:hAnsi="Arial" w:cs="Arial"/>
        </w:rPr>
      </w:pPr>
      <w:r>
        <w:rPr>
          <w:rFonts w:ascii="Arial" w:hAnsi="Arial" w:cs="Arial"/>
        </w:rPr>
        <w:t>包括但不限于：</w:t>
      </w:r>
    </w:p>
    <w:p>
      <w:pPr>
        <w:adjustRightInd w:val="0"/>
        <w:snapToGrid w:val="0"/>
        <w:spacing w:line="360" w:lineRule="auto"/>
        <w:ind w:left="428" w:leftChars="204" w:right="-185" w:rightChars="-88" w:firstLine="840" w:firstLineChars="400"/>
        <w:rPr>
          <w:rFonts w:ascii="Arial" w:hAnsi="Arial" w:cs="Arial"/>
        </w:rPr>
      </w:pPr>
      <w:r>
        <w:rPr>
          <w:rFonts w:ascii="Arial" w:hAnsi="Arial" w:cs="Arial"/>
        </w:rPr>
        <w:t>1）对</w:t>
      </w:r>
      <w:r>
        <w:rPr>
          <w:rFonts w:ascii="Arial" w:hAnsi="Arial" w:cs="Arial"/>
          <w:kern w:val="0"/>
          <w:szCs w:val="21"/>
        </w:rPr>
        <w:t>本项目理解及调研情况</w:t>
      </w:r>
      <w:r>
        <w:rPr>
          <w:rFonts w:ascii="Arial" w:hAnsi="Arial" w:cs="Arial"/>
        </w:rPr>
        <w:t>；</w:t>
      </w:r>
    </w:p>
    <w:p>
      <w:pPr>
        <w:adjustRightInd w:val="0"/>
        <w:snapToGrid w:val="0"/>
        <w:spacing w:line="360" w:lineRule="auto"/>
        <w:ind w:left="428" w:leftChars="204" w:right="-185" w:rightChars="-88" w:firstLine="840" w:firstLineChars="400"/>
        <w:rPr>
          <w:rFonts w:ascii="Arial" w:hAnsi="Arial" w:cs="Arial"/>
          <w:b/>
          <w:szCs w:val="22"/>
        </w:rPr>
      </w:pPr>
      <w:r>
        <w:rPr>
          <w:rFonts w:ascii="Arial" w:hAnsi="Arial" w:cs="Arial"/>
        </w:rPr>
        <w:t>2）</w:t>
      </w:r>
      <w:r>
        <w:rPr>
          <w:rFonts w:ascii="Arial" w:hAnsi="Arial" w:cs="Arial"/>
          <w:kern w:val="0"/>
          <w:szCs w:val="21"/>
        </w:rPr>
        <w:t>工作目标、范围、内容、依据、程序等；</w:t>
      </w:r>
    </w:p>
    <w:p>
      <w:pPr>
        <w:adjustRightInd w:val="0"/>
        <w:snapToGrid w:val="0"/>
        <w:spacing w:line="360" w:lineRule="auto"/>
        <w:ind w:left="428" w:leftChars="204" w:right="-185" w:rightChars="-88" w:firstLine="840" w:firstLineChars="400"/>
        <w:rPr>
          <w:rFonts w:ascii="Arial" w:hAnsi="Arial" w:cs="Arial"/>
        </w:rPr>
      </w:pPr>
      <w:r>
        <w:rPr>
          <w:rFonts w:ascii="Arial" w:hAnsi="Arial" w:cs="Arial"/>
        </w:rPr>
        <w:t>3）检测工作方法程序及措施；</w:t>
      </w:r>
    </w:p>
    <w:p>
      <w:pPr>
        <w:adjustRightInd w:val="0"/>
        <w:snapToGrid w:val="0"/>
        <w:spacing w:line="360" w:lineRule="auto"/>
        <w:ind w:left="428" w:leftChars="204" w:right="-185" w:rightChars="-88" w:firstLine="840" w:firstLineChars="400"/>
        <w:rPr>
          <w:rFonts w:ascii="Arial" w:hAnsi="Arial" w:cs="Arial"/>
          <w:b/>
          <w:szCs w:val="22"/>
        </w:rPr>
      </w:pPr>
      <w:r>
        <w:rPr>
          <w:rFonts w:ascii="Arial" w:hAnsi="Arial" w:cs="Arial"/>
        </w:rPr>
        <w:t>4）进度计划安排；</w:t>
      </w:r>
    </w:p>
    <w:p>
      <w:pPr>
        <w:adjustRightInd w:val="0"/>
        <w:snapToGrid w:val="0"/>
        <w:spacing w:line="360" w:lineRule="auto"/>
        <w:rPr>
          <w:rFonts w:ascii="Arial" w:hAnsi="Arial" w:cs="Arial"/>
        </w:rPr>
      </w:pPr>
    </w:p>
    <w:p>
      <w:pPr>
        <w:adjustRightInd w:val="0"/>
        <w:snapToGrid w:val="0"/>
        <w:spacing w:line="360" w:lineRule="auto"/>
        <w:rPr>
          <w:rFonts w:ascii="Arial" w:hAnsi="Arial" w:cs="Arial"/>
        </w:rPr>
      </w:pPr>
      <w:r>
        <w:rPr>
          <w:rFonts w:ascii="Arial" w:hAnsi="Arial" w:cs="Arial"/>
        </w:rPr>
        <w:t xml:space="preserve">投标人：（盖章）       </w:t>
      </w:r>
    </w:p>
    <w:p>
      <w:pPr>
        <w:adjustRightInd w:val="0"/>
        <w:snapToGrid w:val="0"/>
        <w:spacing w:line="360" w:lineRule="auto"/>
        <w:rPr>
          <w:rFonts w:ascii="Arial" w:hAnsi="Arial" w:cs="Arial"/>
        </w:rPr>
      </w:pPr>
      <w:r>
        <w:rPr>
          <w:rFonts w:ascii="Arial" w:hAnsi="Arial" w:cs="Arial"/>
        </w:rPr>
        <w:t>法定代表人或其授权代表：（签字或盖章）</w:t>
      </w:r>
    </w:p>
    <w:p>
      <w:pPr>
        <w:rPr>
          <w:rFonts w:ascii="Arial" w:hAnsi="Arial" w:cs="Arial"/>
        </w:rPr>
      </w:pPr>
      <w:r>
        <w:rPr>
          <w:rFonts w:ascii="Arial" w:hAnsi="Arial" w:cs="Arial"/>
        </w:rPr>
        <w:t>日期：</w:t>
      </w:r>
    </w:p>
    <w:p>
      <w:pPr>
        <w:rPr>
          <w:rFonts w:ascii="仿宋" w:hAnsi="仿宋" w:eastAsia="仿宋"/>
          <w:b/>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24</w:t>
    </w:r>
    <w:r>
      <w:rPr>
        <w:lang w:val="zh-CN"/>
      </w:rPr>
      <w:fldChar w:fldCharType="end"/>
    </w:r>
  </w:p>
  <w:p>
    <w:pPr>
      <w:pStyle w:val="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43A9F"/>
    <w:multiLevelType w:val="multilevel"/>
    <w:tmpl w:val="10843A9F"/>
    <w:lvl w:ilvl="0" w:tentative="0">
      <w:start w:val="1"/>
      <w:numFmt w:val="japaneseCounting"/>
      <w:lvlText w:val="%1、"/>
      <w:lvlJc w:val="left"/>
      <w:pPr>
        <w:ind w:left="945" w:hanging="48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1">
    <w:nsid w:val="335175FC"/>
    <w:multiLevelType w:val="multilevel"/>
    <w:tmpl w:val="335175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9885C1"/>
    <w:multiLevelType w:val="singleLevel"/>
    <w:tmpl w:val="5C9885C1"/>
    <w:lvl w:ilvl="0" w:tentative="0">
      <w:start w:val="1"/>
      <w:numFmt w:val="decimal"/>
      <w:suff w:val="space"/>
      <w:lvlText w:val="%1."/>
      <w:lvlJc w:val="left"/>
    </w:lvl>
  </w:abstractNum>
  <w:abstractNum w:abstractNumId="3">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6B638F3"/>
    <w:rsid w:val="00012067"/>
    <w:rsid w:val="00023134"/>
    <w:rsid w:val="000A53A4"/>
    <w:rsid w:val="000C62F8"/>
    <w:rsid w:val="00165081"/>
    <w:rsid w:val="001750DB"/>
    <w:rsid w:val="001C4167"/>
    <w:rsid w:val="001E1E0A"/>
    <w:rsid w:val="003036A2"/>
    <w:rsid w:val="003458C6"/>
    <w:rsid w:val="00427619"/>
    <w:rsid w:val="00490CE0"/>
    <w:rsid w:val="004D592E"/>
    <w:rsid w:val="004E372A"/>
    <w:rsid w:val="006229B5"/>
    <w:rsid w:val="0070285B"/>
    <w:rsid w:val="007B0DB2"/>
    <w:rsid w:val="00833D4D"/>
    <w:rsid w:val="00840BA6"/>
    <w:rsid w:val="008A6380"/>
    <w:rsid w:val="008D6557"/>
    <w:rsid w:val="009B15C7"/>
    <w:rsid w:val="00AC4791"/>
    <w:rsid w:val="00B035A0"/>
    <w:rsid w:val="00BA2A09"/>
    <w:rsid w:val="00CA01D7"/>
    <w:rsid w:val="00CA2AFF"/>
    <w:rsid w:val="00D93491"/>
    <w:rsid w:val="00E11B21"/>
    <w:rsid w:val="00EB74CE"/>
    <w:rsid w:val="03006B0B"/>
    <w:rsid w:val="053573F9"/>
    <w:rsid w:val="05F619A1"/>
    <w:rsid w:val="0FC31E85"/>
    <w:rsid w:val="10B0303E"/>
    <w:rsid w:val="16B638F3"/>
    <w:rsid w:val="1C48188B"/>
    <w:rsid w:val="1E4203F7"/>
    <w:rsid w:val="1F7A065F"/>
    <w:rsid w:val="22856F01"/>
    <w:rsid w:val="23F301CE"/>
    <w:rsid w:val="242B7D50"/>
    <w:rsid w:val="28D0736C"/>
    <w:rsid w:val="2E315191"/>
    <w:rsid w:val="2EB336F7"/>
    <w:rsid w:val="335D386F"/>
    <w:rsid w:val="34C82F8A"/>
    <w:rsid w:val="35786281"/>
    <w:rsid w:val="362C23BC"/>
    <w:rsid w:val="36ED15AA"/>
    <w:rsid w:val="396C6281"/>
    <w:rsid w:val="399C4894"/>
    <w:rsid w:val="3A6B0127"/>
    <w:rsid w:val="3BDC3077"/>
    <w:rsid w:val="3E2A18B9"/>
    <w:rsid w:val="40C70696"/>
    <w:rsid w:val="458F2CAC"/>
    <w:rsid w:val="464933D0"/>
    <w:rsid w:val="474754EB"/>
    <w:rsid w:val="4E6571AD"/>
    <w:rsid w:val="50B82B49"/>
    <w:rsid w:val="52783B58"/>
    <w:rsid w:val="548930C6"/>
    <w:rsid w:val="55277A9F"/>
    <w:rsid w:val="56A469C5"/>
    <w:rsid w:val="59582E90"/>
    <w:rsid w:val="59B221C7"/>
    <w:rsid w:val="5B8676E2"/>
    <w:rsid w:val="5EFA3FB5"/>
    <w:rsid w:val="621D1AD9"/>
    <w:rsid w:val="64B747F7"/>
    <w:rsid w:val="66E80EB8"/>
    <w:rsid w:val="68BF354D"/>
    <w:rsid w:val="68DE3F33"/>
    <w:rsid w:val="76CB0923"/>
    <w:rsid w:val="78715B20"/>
    <w:rsid w:val="7B8A1BFB"/>
    <w:rsid w:val="7CC60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4">
    <w:name w:val="Body Text Indent"/>
    <w:basedOn w:val="1"/>
    <w:qFormat/>
    <w:uiPriority w:val="0"/>
    <w:pPr>
      <w:spacing w:line="480" w:lineRule="auto"/>
      <w:ind w:firstLine="600"/>
    </w:pPr>
    <w:rPr>
      <w:sz w:val="28"/>
    </w:rPr>
  </w:style>
  <w:style w:type="paragraph" w:styleId="5">
    <w:name w:val="toc 3"/>
    <w:basedOn w:val="1"/>
    <w:next w:val="1"/>
    <w:qFormat/>
    <w:uiPriority w:val="39"/>
    <w:pPr>
      <w:ind w:left="210"/>
      <w:jc w:val="left"/>
    </w:pPr>
    <w:rPr>
      <w:rFonts w:ascii="等线" w:eastAsia="等线"/>
      <w:sz w:val="20"/>
    </w:rPr>
  </w:style>
  <w:style w:type="paragraph" w:styleId="6">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7">
    <w:name w:val="footer"/>
    <w:basedOn w:val="1"/>
    <w:qFormat/>
    <w:uiPriority w:val="99"/>
    <w:pPr>
      <w:tabs>
        <w:tab w:val="center" w:pos="4153"/>
        <w:tab w:val="right" w:pos="8306"/>
      </w:tabs>
      <w:snapToGrid w:val="0"/>
      <w:jc w:val="left"/>
    </w:pPr>
    <w:rPr>
      <w:sz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Char Char"/>
    <w:qFormat/>
    <w:uiPriority w:val="0"/>
    <w:rPr>
      <w:rFonts w:eastAsia="宋体"/>
      <w:b/>
      <w:spacing w:val="-2"/>
      <w:sz w:val="24"/>
      <w:lang w:val="en-US" w:eastAsia="zh-CN"/>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font21"/>
    <w:basedOn w:val="10"/>
    <w:qFormat/>
    <w:uiPriority w:val="0"/>
    <w:rPr>
      <w:rFonts w:hint="eastAsia" w:ascii="宋体" w:hAnsi="宋体" w:eastAsia="宋体" w:cs="宋体"/>
      <w:color w:val="000000"/>
      <w:sz w:val="20"/>
      <w:szCs w:val="20"/>
      <w:u w:val="none"/>
    </w:rPr>
  </w:style>
  <w:style w:type="character" w:customStyle="1" w:styleId="20">
    <w:name w:val="font91"/>
    <w:basedOn w:val="10"/>
    <w:qFormat/>
    <w:uiPriority w:val="0"/>
    <w:rPr>
      <w:rFonts w:hint="default" w:ascii="Times New Roman" w:hAnsi="Times New Roman" w:cs="Times New Roman"/>
      <w:color w:val="000000"/>
      <w:sz w:val="20"/>
      <w:szCs w:val="20"/>
      <w:u w:val="none"/>
    </w:rPr>
  </w:style>
  <w:style w:type="character" w:customStyle="1" w:styleId="21">
    <w:name w:val="font81"/>
    <w:basedOn w:val="10"/>
    <w:qFormat/>
    <w:uiPriority w:val="0"/>
    <w:rPr>
      <w:rFonts w:hint="eastAsia" w:ascii="宋体" w:hAnsi="宋体" w:eastAsia="宋体" w:cs="宋体"/>
      <w:color w:val="000000"/>
      <w:sz w:val="20"/>
      <w:szCs w:val="20"/>
      <w:u w:val="none"/>
    </w:rPr>
  </w:style>
  <w:style w:type="character" w:customStyle="1" w:styleId="22">
    <w:name w:val="font41"/>
    <w:basedOn w:val="10"/>
    <w:qFormat/>
    <w:uiPriority w:val="0"/>
    <w:rPr>
      <w:rFonts w:hint="default" w:ascii="Times New Roman" w:hAnsi="Times New Roman" w:cs="Times New Roman"/>
      <w:color w:val="000000"/>
      <w:sz w:val="20"/>
      <w:szCs w:val="20"/>
      <w:u w:val="none"/>
    </w:rPr>
  </w:style>
  <w:style w:type="character" w:customStyle="1" w:styleId="23">
    <w:name w:val="font61"/>
    <w:basedOn w:val="10"/>
    <w:qFormat/>
    <w:uiPriority w:val="0"/>
    <w:rPr>
      <w:rFonts w:hint="default" w:ascii="Times New Roman" w:hAnsi="Times New Roman" w:cs="Times New Roman"/>
      <w:color w:val="000000"/>
      <w:sz w:val="20"/>
      <w:szCs w:val="20"/>
      <w:u w:val="none"/>
      <w:vertAlign w:val="subscript"/>
    </w:rPr>
  </w:style>
  <w:style w:type="character" w:customStyle="1" w:styleId="24">
    <w:name w:val="font101"/>
    <w:basedOn w:val="10"/>
    <w:qFormat/>
    <w:uiPriority w:val="0"/>
    <w:rPr>
      <w:rFonts w:hint="default" w:ascii="Times New Roman" w:hAnsi="Times New Roman" w:cs="Times New Roman"/>
      <w:color w:val="FF0000"/>
      <w:sz w:val="20"/>
      <w:szCs w:val="20"/>
      <w:u w:val="none"/>
    </w:rPr>
  </w:style>
  <w:style w:type="character" w:customStyle="1" w:styleId="25">
    <w:name w:val="font51"/>
    <w:basedOn w:val="10"/>
    <w:qFormat/>
    <w:uiPriority w:val="0"/>
    <w:rPr>
      <w:rFonts w:hint="eastAsia" w:ascii="宋体" w:hAnsi="宋体" w:eastAsia="宋体" w:cs="宋体"/>
      <w:color w:val="FF0000"/>
      <w:sz w:val="20"/>
      <w:szCs w:val="20"/>
      <w:u w:val="none"/>
    </w:rPr>
  </w:style>
  <w:style w:type="character" w:customStyle="1" w:styleId="26">
    <w:name w:val="font11"/>
    <w:basedOn w:val="10"/>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2465</Words>
  <Characters>14056</Characters>
  <Lines>117</Lines>
  <Paragraphs>32</Paragraphs>
  <TotalTime>54</TotalTime>
  <ScaleCrop>false</ScaleCrop>
  <LinksUpToDate>false</LinksUpToDate>
  <CharactersWithSpaces>16489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2020-11-15T05:36:00Z</dcterms:created>
  <dc:creator>Echo</dc:creator>
  <cp:lastModifiedBy>WPS_1616320435</cp:lastModifiedBy>
  <cp:lastPrinted>2021-01-27T01:49:00Z</cp:lastPrinted>
  <dcterms:modified xsi:type="dcterms:W3CDTF">2021-03-30T07:46:36Z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60659FFFBB2D4D07A7340CCA250377FE</vt:lpwstr>
  </property>
</Properties>
</file>