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202103008</w:t>
      </w:r>
    </w:p>
    <w:p>
      <w:pPr>
        <w:spacing w:line="360" w:lineRule="auto"/>
        <w:jc w:val="center"/>
        <w:rPr>
          <w:rFonts w:ascii="仿宋_GB2312" w:hAnsi="宋体" w:eastAsia="仿宋_GB2312"/>
          <w:color w:val="auto"/>
          <w:sz w:val="32"/>
          <w:szCs w:val="32"/>
          <w:u w:val="single"/>
        </w:rPr>
      </w:pPr>
      <w:bookmarkStart w:id="0" w:name="OLE_LINK52"/>
      <w:bookmarkStart w:id="1" w:name="OLE_LINK53"/>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2021年临江公司三固项目重捕剂采购</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二○二一年三月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3"/>
      <w:bookmarkStart w:id="7" w:name="_Hlt3475374"/>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7"/>
      <w:bookmarkStart w:id="12" w:name="_Hlt509229878"/>
      <w:bookmarkStart w:id="13" w:name="_Hlt509230090"/>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22</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509228292"/>
      <w:bookmarkStart w:id="15" w:name="_Toc509229818"/>
      <w:bookmarkStart w:id="16" w:name="_Toc473012590"/>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就杭州第三固废处置中心一期项目重捕剂采购进行公开招标，欢迎符合要求的投标人参加投标。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w:t>
      </w:r>
      <w:r>
        <w:rPr>
          <w:rFonts w:hint="eastAsia" w:ascii="仿宋_GB2312" w:hAnsi="仿宋" w:eastAsia="仿宋_GB2312"/>
          <w:color w:val="auto"/>
          <w:sz w:val="24"/>
          <w:szCs w:val="24"/>
        </w:rPr>
        <w:t>称:</w:t>
      </w:r>
      <w:r>
        <w:rPr>
          <w:rFonts w:hint="eastAsia" w:ascii="仿宋_GB2312" w:hAnsi="宋体" w:eastAsia="仿宋_GB2312"/>
          <w:color w:val="auto"/>
          <w:sz w:val="24"/>
          <w:szCs w:val="24"/>
        </w:rPr>
        <w:t>重捕剂采</w:t>
      </w:r>
      <w:r>
        <w:rPr>
          <w:rFonts w:hint="eastAsia" w:ascii="仿宋_GB2312" w:hAnsi="仿宋"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2、计划采购数量：30吨。</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3.1、利用自身分子中极性基产生的强烈负电场螯合废水中的Cu2+、Ni2+、Zn2+、Cr3+、Pb2+、Cd2+等重金属离子，生成不溶于水的絮状沉淀物，达到清除重金属离子的目的，包装：25KG/桶；</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3.2</w:t>
      </w:r>
      <w:r>
        <w:rPr>
          <w:rFonts w:hint="eastAsia"/>
          <w:color w:val="auto"/>
        </w:rPr>
        <w:t xml:space="preserve"> 、</w:t>
      </w:r>
      <w:r>
        <w:rPr>
          <w:rFonts w:hint="eastAsia" w:ascii="仿宋_GB2312" w:hAnsi="宋体" w:eastAsia="仿宋_GB2312"/>
          <w:color w:val="auto"/>
          <w:sz w:val="24"/>
          <w:szCs w:val="24"/>
        </w:rPr>
        <w:t>氨基硫化合物有效含量≥95%，PH值：9.5-12.5；适用PH 范围：3-12。</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5、最高限价：15000元/吨</w:t>
      </w:r>
      <w:r>
        <w:rPr>
          <w:rFonts w:hint="eastAsia" w:ascii="仿宋_GB2312" w:hAnsi="宋体" w:eastAsia="仿宋_GB2312"/>
          <w:b/>
          <w:color w:val="auto"/>
          <w:sz w:val="24"/>
          <w:szCs w:val="24"/>
        </w:rPr>
        <w:t>（</w:t>
      </w:r>
      <w:r>
        <w:rPr>
          <w:rFonts w:hint="eastAsia" w:ascii="仿宋_GB2312" w:hAnsi="宋体" w:eastAsia="仿宋_GB2312"/>
          <w:color w:val="auto"/>
          <w:sz w:val="24"/>
          <w:szCs w:val="24"/>
        </w:rPr>
        <w:t>所有价格均为含税含运费，一票制结算），限价总金额45万元。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且是有能力按招标文件提供规定的货物及服务的产品制造商或代理商（投标人若为代理商，还须提供投标产品制造商出具的授权书原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2、相关的主要业绩证明：投标人提供近两年至少1例重捕剂的合同或中标通知书等（复印件）；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4、本项目不接受联合体投标。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日至2021年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w:t>
      </w:r>
      <w:r>
        <w:rPr>
          <w:rFonts w:hint="eastAsia" w:ascii="仿宋_GB2312" w:hAnsi="仿宋" w:eastAsia="仿宋_GB2312"/>
          <w:color w:val="auto"/>
          <w:sz w:val="24"/>
          <w:szCs w:val="24"/>
          <w:lang w:val="en-US" w:eastAsia="zh-CN"/>
        </w:rPr>
        <w:t>0</w:t>
      </w:r>
      <w:r>
        <w:rPr>
          <w:rFonts w:hint="eastAsia" w:ascii="仿宋_GB2312" w:hAnsi="仿宋" w:eastAsia="仿宋_GB2312"/>
          <w:color w:val="auto"/>
          <w:sz w:val="24"/>
          <w:szCs w:val="24"/>
        </w:rPr>
        <w:t>:</w:t>
      </w:r>
      <w:r>
        <w:rPr>
          <w:rFonts w:hint="eastAsia" w:ascii="仿宋_GB2312" w:hAnsi="仿宋" w:eastAsia="仿宋_GB2312"/>
          <w:color w:val="auto"/>
          <w:sz w:val="24"/>
          <w:szCs w:val="24"/>
          <w:lang w:val="en-US" w:eastAsia="zh-CN"/>
        </w:rPr>
        <w:t>3</w:t>
      </w:r>
      <w:r>
        <w:rPr>
          <w:rFonts w:hint="eastAsia" w:ascii="仿宋_GB2312" w:hAnsi="仿宋" w:eastAsia="仿宋_GB2312"/>
          <w:color w:val="auto"/>
          <w:sz w:val="24"/>
          <w:szCs w:val="24"/>
        </w:rPr>
        <w:t>0。</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w:t>
      </w:r>
      <w:r>
        <w:rPr>
          <w:rFonts w:hint="eastAsia" w:ascii="仿宋_GB2312" w:hAnsi="仿宋" w:eastAsia="仿宋_GB2312"/>
          <w:color w:val="auto"/>
          <w:sz w:val="24"/>
          <w:szCs w:val="24"/>
          <w:lang w:val="en-US" w:eastAsia="zh-CN"/>
        </w:rPr>
        <w:t>0</w:t>
      </w:r>
      <w:r>
        <w:rPr>
          <w:rFonts w:hint="eastAsia" w:ascii="仿宋_GB2312" w:hAnsi="仿宋" w:eastAsia="仿宋_GB2312"/>
          <w:color w:val="auto"/>
          <w:sz w:val="24"/>
          <w:szCs w:val="24"/>
        </w:rPr>
        <w:t>:</w:t>
      </w:r>
      <w:r>
        <w:rPr>
          <w:rFonts w:hint="eastAsia" w:ascii="仿宋_GB2312" w:hAnsi="仿宋" w:eastAsia="仿宋_GB2312"/>
          <w:color w:val="auto"/>
          <w:sz w:val="24"/>
          <w:szCs w:val="24"/>
          <w:lang w:val="en-US" w:eastAsia="zh-CN"/>
        </w:rPr>
        <w:t>3</w:t>
      </w:r>
      <w:r>
        <w:rPr>
          <w:rFonts w:hint="eastAsia" w:ascii="仿宋_GB2312" w:hAnsi="仿宋" w:eastAsia="仿宋_GB2312"/>
          <w:color w:val="auto"/>
          <w:sz w:val="24"/>
          <w:szCs w:val="24"/>
        </w:rPr>
        <w:t>0。</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504" w:firstLineChars="210"/>
        <w:rPr>
          <w:rFonts w:ascii="仿宋_GB2312" w:hAnsi="宋体" w:eastAsia="仿宋_GB2312"/>
          <w:color w:val="auto"/>
          <w:sz w:val="24"/>
          <w:szCs w:val="24"/>
        </w:rPr>
      </w:pPr>
    </w:p>
    <w:p>
      <w:pPr>
        <w:pStyle w:val="3"/>
        <w:spacing w:line="360" w:lineRule="auto"/>
        <w:ind w:firstLine="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744" w:firstLineChars="281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 xml:space="preserve"> 月</w:t>
      </w:r>
      <w:r>
        <w:rPr>
          <w:rFonts w:hint="eastAsia" w:ascii="仿宋_GB2312" w:hAnsi="宋体" w:eastAsia="仿宋_GB2312"/>
          <w:color w:val="auto"/>
          <w:sz w:val="24"/>
          <w:szCs w:val="24"/>
          <w:lang w:val="en-US" w:eastAsia="zh-CN"/>
        </w:rPr>
        <w:t>19</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9844"/>
      <w:bookmarkStart w:id="21" w:name="_Toc509228318"/>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2021年临江公司三固项目重捕剂采购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202103008</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重捕剂限价15000元/吨</w:t>
            </w: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rPr>
              <w:t>所有价格均为含税含运费，一票制结算），限价总金额45万元。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color w:val="auto"/>
                <w:sz w:val="24"/>
                <w:szCs w:val="24"/>
              </w:rPr>
            </w:pPr>
            <w:bookmarkStart w:id="30" w:name="_Toc509228359"/>
            <w:r>
              <w:rPr>
                <w:rFonts w:hint="eastAsia" w:ascii="仿宋_GB2312" w:hAnsi="宋体" w:eastAsia="仿宋_GB2312"/>
                <w:color w:val="auto"/>
                <w:sz w:val="24"/>
                <w:szCs w:val="24"/>
              </w:rPr>
              <w:t>1、本招标项目投标保证金为9000元（大写</w:t>
            </w:r>
            <w:r>
              <w:rPr>
                <w:rFonts w:ascii="仿宋_GB2312" w:hAnsi="宋体" w:eastAsia="仿宋_GB2312"/>
                <w:color w:val="auto"/>
                <w:sz w:val="24"/>
                <w:szCs w:val="24"/>
              </w:rPr>
              <w:t>：</w:t>
            </w:r>
            <w:r>
              <w:rPr>
                <w:rFonts w:hint="eastAsia" w:ascii="仿宋_GB2312" w:hAnsi="宋体" w:eastAsia="仿宋_GB2312"/>
                <w:color w:val="auto"/>
                <w:sz w:val="24"/>
                <w:szCs w:val="24"/>
              </w:rPr>
              <w:t>玖仟整），投标人应在投标截止日前以电汇或网银转账方式缴纳至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color w:val="auto"/>
                <w:sz w:val="24"/>
                <w:szCs w:val="24"/>
              </w:rPr>
              <w:t>（须注明2021年临江公司三固项目重捕剂采购的投标保证金）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bookmarkEnd w:id="30"/>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w:t>
            </w:r>
            <w:r>
              <w:rPr>
                <w:rFonts w:hint="eastAsia" w:ascii="仿宋_GB2312" w:hAnsi="仿宋" w:eastAsia="仿宋_GB2312"/>
                <w:color w:val="auto"/>
                <w:sz w:val="24"/>
                <w:szCs w:val="24"/>
                <w:lang w:val="en-US" w:eastAsia="zh-CN"/>
              </w:rPr>
              <w:t>0</w:t>
            </w:r>
            <w:r>
              <w:rPr>
                <w:rFonts w:hint="eastAsia" w:ascii="仿宋_GB2312" w:hAnsi="仿宋" w:eastAsia="仿宋_GB2312"/>
                <w:color w:val="auto"/>
                <w:sz w:val="24"/>
                <w:szCs w:val="24"/>
              </w:rPr>
              <w:t>:</w:t>
            </w:r>
            <w:r>
              <w:rPr>
                <w:rFonts w:hint="eastAsia" w:ascii="仿宋_GB2312" w:hAnsi="仿宋" w:eastAsia="仿宋_GB2312"/>
                <w:color w:val="auto"/>
                <w:sz w:val="24"/>
                <w:szCs w:val="24"/>
                <w:lang w:val="en-US" w:eastAsia="zh-CN"/>
              </w:rPr>
              <w:t>3</w:t>
            </w:r>
            <w:r>
              <w:rPr>
                <w:rFonts w:hint="eastAsia" w:ascii="仿宋_GB2312" w:hAnsi="仿宋" w:eastAsia="仿宋_GB2312"/>
                <w:color w:val="auto"/>
                <w:sz w:val="24"/>
                <w:szCs w:val="24"/>
              </w:rPr>
              <w:t>0。</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w:t>
            </w:r>
            <w:r>
              <w:rPr>
                <w:rFonts w:hint="eastAsia" w:ascii="仿宋_GB2312" w:hAnsi="仿宋" w:eastAsia="仿宋_GB2312"/>
                <w:color w:val="auto"/>
                <w:sz w:val="24"/>
                <w:szCs w:val="24"/>
                <w:lang w:val="en-US" w:eastAsia="zh-CN"/>
              </w:rPr>
              <w:t>0</w:t>
            </w:r>
            <w:r>
              <w:rPr>
                <w:rFonts w:hint="eastAsia" w:ascii="仿宋_GB2312" w:hAnsi="仿宋" w:eastAsia="仿宋_GB2312"/>
                <w:color w:val="auto"/>
                <w:sz w:val="24"/>
                <w:szCs w:val="24"/>
              </w:rPr>
              <w:t>:</w:t>
            </w:r>
            <w:r>
              <w:rPr>
                <w:rFonts w:hint="eastAsia" w:ascii="仿宋_GB2312" w:hAnsi="仿宋" w:eastAsia="仿宋_GB2312"/>
                <w:color w:val="auto"/>
                <w:sz w:val="24"/>
                <w:szCs w:val="24"/>
                <w:lang w:val="en-US" w:eastAsia="zh-CN"/>
              </w:rPr>
              <w:t>3</w:t>
            </w:r>
            <w:r>
              <w:rPr>
                <w:rFonts w:hint="eastAsia" w:ascii="仿宋_GB2312" w:hAnsi="仿宋" w:eastAsia="仿宋_GB2312"/>
                <w:color w:val="auto"/>
                <w:sz w:val="24"/>
                <w:szCs w:val="24"/>
              </w:rPr>
              <w:t>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杭州第三固废处置中心一期项目重捕剂采购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杭州第三固废处置中心一期项目重捕剂采购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3.2 采购数量：</w:t>
      </w:r>
      <w:r>
        <w:rPr>
          <w:rFonts w:hint="eastAsia" w:ascii="仿宋_GB2312" w:hAnsi="宋体" w:eastAsia="仿宋_GB2312" w:cs="宋体"/>
          <w:color w:val="auto"/>
          <w:szCs w:val="24"/>
        </w:rPr>
        <w:t>详见招标公告。</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3.2供货期限：</w:t>
      </w:r>
      <w:r>
        <w:rPr>
          <w:rFonts w:hint="eastAsia" w:ascii="仿宋_GB2312" w:hAnsi="宋体" w:eastAsia="仿宋_GB2312" w:cs="宋体"/>
          <w:color w:val="auto"/>
          <w:szCs w:val="24"/>
        </w:rPr>
        <w:t>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cs="宋体"/>
          <w:b/>
          <w:color w:val="auto"/>
          <w:spacing w:val="4"/>
          <w:sz w:val="24"/>
          <w:szCs w:val="24"/>
        </w:rPr>
        <w:t>非</w:t>
      </w:r>
      <w:r>
        <w:rPr>
          <w:rFonts w:hint="eastAsia" w:ascii="仿宋_GB2312" w:hAnsi="宋体" w:eastAsia="仿宋_GB2312"/>
          <w:b/>
          <w:color w:val="auto"/>
          <w:sz w:val="24"/>
          <w:szCs w:val="24"/>
        </w:rPr>
        <w:t>生产厂家提供原厂授权书或经销商证明以及</w:t>
      </w:r>
      <w:r>
        <w:rPr>
          <w:rFonts w:hint="eastAsia" w:ascii="仿宋_GB2312" w:hAnsi="宋体" w:eastAsia="仿宋_GB2312" w:cs="宋体"/>
          <w:b/>
          <w:color w:val="auto"/>
          <w:sz w:val="24"/>
          <w:szCs w:val="24"/>
        </w:rPr>
        <w:t>生产厂家营业执照（复印件）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8.2.4相关的主要业绩证明：投标人提供至少1例重捕剂中的合同或中标通知书等（复印件）。</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pStyle w:val="15"/>
        <w:snapToGrid w:val="0"/>
        <w:spacing w:before="0" w:beforeAutospacing="0" w:after="0" w:afterAutospacing="0" w:line="360" w:lineRule="auto"/>
        <w:ind w:left="479" w:leftChars="228"/>
        <w:rPr>
          <w:rFonts w:ascii="仿宋_GB2312" w:hAnsi="Times New Roman" w:eastAsia="仿宋_GB2312"/>
          <w:color w:val="auto"/>
          <w:kern w:val="2"/>
          <w:szCs w:val="24"/>
        </w:rPr>
      </w:pPr>
      <w:r>
        <w:rPr>
          <w:rFonts w:hint="eastAsia" w:ascii="仿宋_GB2312" w:eastAsia="仿宋_GB2312"/>
          <w:color w:val="auto"/>
          <w:szCs w:val="24"/>
        </w:rPr>
        <w:t>户  名：杭州临江环境能源有限公司</w:t>
      </w:r>
      <w:r>
        <w:rPr>
          <w:rFonts w:hint="eastAsia" w:ascii="仿宋_GB2312" w:eastAsia="仿宋_GB2312"/>
          <w:color w:val="auto"/>
          <w:szCs w:val="24"/>
        </w:rPr>
        <w:br w:type="textWrapping"/>
      </w:r>
      <w:r>
        <w:rPr>
          <w:rFonts w:hint="eastAsia" w:ascii="仿宋_GB2312" w:hAnsi="Times New Roman" w:eastAsia="仿宋_GB2312"/>
          <w:color w:val="auto"/>
          <w:kern w:val="2"/>
          <w:szCs w:val="24"/>
        </w:rPr>
        <w:t>开户银行：招商银行杭州分行滨江支行</w:t>
      </w:r>
    </w:p>
    <w:p>
      <w:pPr>
        <w:spacing w:line="360" w:lineRule="auto"/>
        <w:ind w:firstLine="480" w:firstLineChars="200"/>
        <w:rPr>
          <w:rFonts w:ascii="仿宋_GB2312" w:hAnsi="宋体" w:eastAsia="仿宋_GB2312"/>
          <w:color w:val="auto"/>
          <w:sz w:val="24"/>
          <w:szCs w:val="24"/>
        </w:rPr>
      </w:pPr>
      <w:r>
        <w:rPr>
          <w:rFonts w:hint="eastAsia" w:ascii="仿宋_GB2312" w:eastAsia="仿宋_GB2312"/>
          <w:color w:val="auto"/>
          <w:sz w:val="24"/>
          <w:szCs w:val="24"/>
        </w:rPr>
        <w:t>帐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8382"/>
      <w:bookmarkStart w:id="37" w:name="_Toc509229845"/>
      <w:bookmarkStart w:id="38" w:name="_Toc37815040"/>
      <w:bookmarkStart w:id="39" w:name="_Toc37911648"/>
      <w:bookmarkStart w:id="40" w:name="_Toc37911758"/>
      <w:bookmarkStart w:id="41" w:name="_Toc37912038"/>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w:t>
      </w:r>
      <w:r>
        <w:rPr>
          <w:rFonts w:hint="eastAsia" w:ascii="仿宋_GB2312" w:hAnsi="宋体" w:eastAsia="仿宋_GB2312" w:cs="Arial"/>
          <w:b/>
          <w:color w:val="auto"/>
          <w:sz w:val="24"/>
          <w:szCs w:val="24"/>
        </w:rPr>
        <w:t>投标</w:t>
      </w:r>
      <w:r>
        <w:rPr>
          <w:rFonts w:hint="eastAsia" w:ascii="仿宋_GB2312" w:hAnsi="宋体" w:eastAsia="仿宋_GB2312" w:cs="Arial"/>
          <w:color w:val="auto"/>
          <w:sz w:val="24"/>
          <w:szCs w:val="24"/>
        </w:rPr>
        <w:t>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7"/>
        <w:gridCol w:w="1706"/>
        <w:gridCol w:w="4539"/>
        <w:gridCol w:w="23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4" w:type="pct"/>
            <w:vAlign w:val="center"/>
          </w:tcPr>
          <w:p>
            <w:pPr>
              <w:spacing w:line="360" w:lineRule="auto"/>
              <w:jc w:val="center"/>
              <w:outlineLvl w:val="0"/>
              <w:rPr>
                <w:rFonts w:ascii="仿宋_GB2312" w:eastAsia="仿宋_GB2312"/>
                <w:color w:val="auto"/>
                <w:sz w:val="24"/>
                <w:szCs w:val="24"/>
              </w:rPr>
            </w:pPr>
            <w:bookmarkStart w:id="42" w:name="_Toc509229846"/>
            <w:bookmarkStart w:id="43" w:name="_Toc509228383"/>
            <w:r>
              <w:rPr>
                <w:rFonts w:hint="eastAsia" w:ascii="仿宋_GB2312" w:eastAsia="仿宋_GB2312"/>
                <w:color w:val="auto"/>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计划采购数量</w:t>
            </w:r>
          </w:p>
        </w:tc>
        <w:tc>
          <w:tcPr>
            <w:tcW w:w="2270"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技术要求</w:t>
            </w:r>
          </w:p>
        </w:tc>
        <w:tc>
          <w:tcPr>
            <w:tcW w:w="1161"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714"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重捕剂</w:t>
            </w:r>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暂估30</w:t>
            </w:r>
            <w:r>
              <w:rPr>
                <w:rFonts w:hint="eastAsia" w:ascii="仿宋_GB2312" w:eastAsia="仿宋_GB2312"/>
                <w:color w:val="auto"/>
                <w:sz w:val="24"/>
                <w:szCs w:val="24"/>
              </w:rPr>
              <w:t>吨</w:t>
            </w:r>
          </w:p>
        </w:tc>
        <w:tc>
          <w:tcPr>
            <w:tcW w:w="2270" w:type="pct"/>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eastAsia="仿宋_GB2312"/>
                <w:color w:val="auto"/>
                <w:sz w:val="24"/>
                <w:szCs w:val="24"/>
              </w:rPr>
              <w:t>利用自身分子中极性基产生的强烈负电场螯合废水中的Cu2+、Ni2+、Zn2+、Cr3+、Pb2+、Cd2+等重金属离子，生成不溶于水的絮状沉淀物，达到清除重金属离子的目的，包装：25KG/桶。</w:t>
            </w:r>
            <w:r>
              <w:rPr>
                <w:rFonts w:hint="eastAsia" w:ascii="仿宋_GB2312" w:hAnsi="宋体" w:eastAsia="仿宋_GB2312"/>
                <w:color w:val="auto"/>
                <w:sz w:val="24"/>
                <w:szCs w:val="24"/>
              </w:rPr>
              <w:t>氨基硫化合物有效含量≥95%，PH值：9.5-12.5；适用PH 范围：3-12</w:t>
            </w:r>
            <w:r>
              <w:rPr>
                <w:rFonts w:hint="eastAsia" w:ascii="仿宋_GB2312" w:eastAsia="仿宋_GB2312"/>
                <w:color w:val="auto"/>
                <w:sz w:val="24"/>
                <w:szCs w:val="24"/>
              </w:rPr>
              <w:t>。</w:t>
            </w:r>
          </w:p>
        </w:tc>
        <w:tc>
          <w:tcPr>
            <w:tcW w:w="1161" w:type="pct"/>
            <w:vAlign w:val="center"/>
          </w:tcPr>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15000元/吨</w:t>
            </w:r>
          </w:p>
        </w:tc>
      </w:tr>
    </w:tbl>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color w:val="auto"/>
          <w:sz w:val="24"/>
          <w:szCs w:val="24"/>
        </w:rPr>
        <w:t>1、合</w:t>
      </w:r>
      <w:r>
        <w:rPr>
          <w:rFonts w:hint="eastAsia" w:ascii="仿宋_GB2312" w:hAnsi="宋体" w:eastAsia="仿宋_GB2312"/>
          <w:b w:val="0"/>
          <w:bCs w:val="0"/>
          <w:color w:val="auto"/>
          <w:sz w:val="24"/>
          <w:szCs w:val="24"/>
        </w:rPr>
        <w:t>同供货期限：自签订合同之日起1年，合同供货期内，单价不变。</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2、付款结算：按月计算，中标人提供正规增值税专用发票。招标人按实际采购量，次月与中标人结算。</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二</w:t>
      </w:r>
      <w:r>
        <w:rPr>
          <w:rFonts w:ascii="仿宋_GB2312" w:hAnsi="宋体" w:eastAsia="仿宋_GB2312"/>
          <w:b w:val="0"/>
          <w:bCs w:val="0"/>
          <w:color w:val="auto"/>
          <w:sz w:val="24"/>
          <w:szCs w:val="24"/>
        </w:rPr>
        <w:t>、</w:t>
      </w:r>
      <w:r>
        <w:rPr>
          <w:rFonts w:hint="eastAsia" w:ascii="仿宋_GB2312" w:hAnsi="宋体" w:eastAsia="仿宋_GB2312"/>
          <w:b w:val="0"/>
          <w:bCs w:val="0"/>
          <w:color w:val="auto"/>
          <w:sz w:val="24"/>
          <w:szCs w:val="24"/>
        </w:rPr>
        <w:t>供货</w:t>
      </w:r>
      <w:r>
        <w:rPr>
          <w:rFonts w:ascii="仿宋_GB2312" w:hAnsi="宋体" w:eastAsia="仿宋_GB2312"/>
          <w:b w:val="0"/>
          <w:bCs w:val="0"/>
          <w:color w:val="auto"/>
          <w:sz w:val="24"/>
          <w:szCs w:val="24"/>
        </w:rPr>
        <w:t>要求</w:t>
      </w:r>
      <w:bookmarkEnd w:id="38"/>
      <w:bookmarkEnd w:id="39"/>
      <w:bookmarkEnd w:id="40"/>
      <w:bookmarkEnd w:id="41"/>
      <w:r>
        <w:rPr>
          <w:rFonts w:hint="eastAsia" w:ascii="仿宋_GB2312" w:hAnsi="宋体" w:eastAsia="仿宋_GB2312"/>
          <w:b w:val="0"/>
          <w:bCs w:val="0"/>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1、按需分批次供货。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送货清单和出厂检验合格</w:t>
      </w:r>
      <w:r>
        <w:rPr>
          <w:rFonts w:ascii="仿宋_GB2312" w:hAnsi="宋体" w:eastAsia="仿宋_GB2312"/>
          <w:b/>
          <w:color w:val="auto"/>
          <w:sz w:val="24"/>
          <w:szCs w:val="24"/>
        </w:rPr>
        <w:t>报告</w:t>
      </w:r>
      <w:r>
        <w:rPr>
          <w:rFonts w:hint="eastAsia" w:ascii="仿宋_GB2312" w:hAnsi="宋体" w:eastAsia="仿宋_GB2312"/>
          <w:b/>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中标人要保证重捕剂的质量，招标人有权将对供货进行每批次取样分析，由招标人进行质量检测。如对检测结果有异议，委托第三方检测机构进行质量检测，检测费用由中标人承担。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4" w:name="_Toc509228412"/>
      <w:bookmarkStart w:id="45" w:name="_Toc509229875"/>
      <w:bookmarkStart w:id="46" w:name="_Toc473012596"/>
      <w:r>
        <w:rPr>
          <w:rStyle w:val="13"/>
          <w:rFonts w:hint="eastAsia" w:ascii="仿宋_GB2312" w:eastAsia="仿宋_GB2312"/>
          <w:b/>
          <w:color w:val="auto"/>
          <w:spacing w:val="0"/>
          <w:sz w:val="44"/>
          <w:lang w:val="en-GB"/>
        </w:rPr>
        <w:t>第四部分  合同</w:t>
      </w:r>
      <w:bookmarkEnd w:id="44"/>
      <w:bookmarkEnd w:id="45"/>
      <w:bookmarkEnd w:id="46"/>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就甲方向乙方采购重捕剂事宜</w:t>
      </w:r>
      <w:r>
        <w:rPr>
          <w:rFonts w:hint="eastAsia" w:ascii="仿宋_GB2312" w:eastAsia="仿宋_GB2312"/>
          <w:color w:val="auto"/>
          <w:sz w:val="24"/>
          <w:szCs w:val="24"/>
        </w:rPr>
        <w:t>达成如下条款：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一、产品名称、技术指标、单价、数量、总价：（金额单位:元）</w:t>
      </w:r>
    </w:p>
    <w:tbl>
      <w:tblPr>
        <w:tblStyle w:val="9"/>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544"/>
        <w:gridCol w:w="1134"/>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序号</w:t>
            </w:r>
          </w:p>
        </w:tc>
        <w:tc>
          <w:tcPr>
            <w:tcW w:w="1559" w:type="dxa"/>
            <w:vAlign w:val="center"/>
          </w:tcPr>
          <w:p>
            <w:pPr>
              <w:spacing w:line="360" w:lineRule="auto"/>
              <w:ind w:left="1"/>
              <w:jc w:val="center"/>
              <w:rPr>
                <w:rFonts w:ascii="仿宋_GB2312" w:hAnsi="宋体" w:eastAsia="仿宋_GB2312"/>
                <w:color w:val="auto"/>
                <w:sz w:val="24"/>
                <w:szCs w:val="24"/>
              </w:rPr>
            </w:pPr>
            <w:r>
              <w:rPr>
                <w:rFonts w:hint="eastAsia" w:ascii="仿宋_GB2312" w:hAnsi="宋体" w:eastAsia="仿宋_GB2312"/>
                <w:color w:val="auto"/>
                <w:sz w:val="24"/>
                <w:szCs w:val="24"/>
              </w:rPr>
              <w:t>产品名称</w:t>
            </w:r>
          </w:p>
        </w:tc>
        <w:tc>
          <w:tcPr>
            <w:tcW w:w="3544"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技术指标</w:t>
            </w:r>
          </w:p>
        </w:tc>
        <w:tc>
          <w:tcPr>
            <w:tcW w:w="1134"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单价（元）</w:t>
            </w:r>
          </w:p>
        </w:tc>
        <w:tc>
          <w:tcPr>
            <w:tcW w:w="124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数量（吨）</w:t>
            </w:r>
          </w:p>
        </w:tc>
        <w:tc>
          <w:tcPr>
            <w:tcW w:w="85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1559" w:type="dxa"/>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重捕剂</w:t>
            </w:r>
          </w:p>
        </w:tc>
        <w:tc>
          <w:tcPr>
            <w:tcW w:w="3544" w:type="dxa"/>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利用自身分子中极性基产生的强烈负电场螯合废水中的Cu2+、Ni2+、Zn2+、Cr3+、Pb2+、Cd2+等重金属离子，生成不溶于水的絮状沉淀物，达到清除重金属离子的目的，包装：25KG/桶。</w:t>
            </w:r>
            <w:r>
              <w:rPr>
                <w:rFonts w:hint="eastAsia" w:ascii="仿宋_GB2312" w:hAnsi="宋体" w:eastAsia="仿宋_GB2312"/>
                <w:color w:val="auto"/>
                <w:sz w:val="24"/>
                <w:szCs w:val="24"/>
              </w:rPr>
              <w:t>氨基硫化合物有效含量≥95%，PH值：9.5-12.5；适用PH 范围：3-12。</w:t>
            </w:r>
          </w:p>
        </w:tc>
        <w:tc>
          <w:tcPr>
            <w:tcW w:w="1134" w:type="dxa"/>
            <w:vAlign w:val="center"/>
          </w:tcPr>
          <w:p>
            <w:pPr>
              <w:pStyle w:val="18"/>
              <w:widowControl/>
              <w:spacing w:line="360" w:lineRule="auto"/>
              <w:ind w:firstLine="480"/>
              <w:jc w:val="left"/>
              <w:rPr>
                <w:rFonts w:ascii="仿宋_GB2312" w:eastAsia="仿宋_GB2312"/>
                <w:color w:val="auto"/>
                <w:sz w:val="24"/>
                <w:szCs w:val="24"/>
              </w:rPr>
            </w:pPr>
          </w:p>
        </w:tc>
        <w:tc>
          <w:tcPr>
            <w:tcW w:w="1243" w:type="dxa"/>
            <w:vAlign w:val="center"/>
          </w:tcPr>
          <w:p>
            <w:pPr>
              <w:pStyle w:val="3"/>
              <w:spacing w:line="360" w:lineRule="auto"/>
              <w:ind w:firstLine="0"/>
              <w:rPr>
                <w:rFonts w:ascii="仿宋_GB2312" w:hAnsi="宋体" w:eastAsia="仿宋_GB2312"/>
                <w:color w:val="auto"/>
                <w:sz w:val="24"/>
                <w:szCs w:val="24"/>
              </w:rPr>
            </w:pPr>
            <w:r>
              <w:rPr>
                <w:rFonts w:hint="eastAsia" w:ascii="仿宋_GB2312" w:hAnsi="宋体" w:eastAsia="仿宋_GB2312"/>
                <w:color w:val="auto"/>
                <w:sz w:val="24"/>
                <w:szCs w:val="24"/>
              </w:rPr>
              <w:t>暂估30吨</w:t>
            </w: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1559" w:type="dxa"/>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合计</w:t>
            </w:r>
          </w:p>
        </w:tc>
        <w:tc>
          <w:tcPr>
            <w:tcW w:w="3544" w:type="dxa"/>
            <w:vAlign w:val="center"/>
          </w:tcPr>
          <w:p>
            <w:pPr>
              <w:spacing w:line="360" w:lineRule="auto"/>
              <w:jc w:val="center"/>
              <w:outlineLvl w:val="0"/>
              <w:rPr>
                <w:rFonts w:ascii="仿宋_GB2312" w:hAnsi="宋体" w:eastAsia="仿宋_GB2312"/>
                <w:color w:val="auto"/>
                <w:sz w:val="24"/>
                <w:szCs w:val="24"/>
              </w:rPr>
            </w:pPr>
          </w:p>
        </w:tc>
        <w:tc>
          <w:tcPr>
            <w:tcW w:w="1134"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vAlign w:val="center"/>
          </w:tcPr>
          <w:p>
            <w:pPr>
              <w:spacing w:line="360" w:lineRule="auto"/>
              <w:ind w:firstLine="520" w:firstLineChars="217"/>
              <w:jc w:val="left"/>
              <w:rPr>
                <w:rFonts w:ascii="仿宋_GB2312" w:hAnsi="宋体" w:eastAsia="仿宋_GB2312"/>
                <w:color w:val="auto"/>
                <w:sz w:val="24"/>
                <w:szCs w:val="24"/>
              </w:rPr>
            </w:pPr>
            <w:r>
              <w:rPr>
                <w:rFonts w:hint="eastAsia" w:ascii="仿宋_GB2312" w:hAnsi="宋体" w:eastAsia="仿宋_GB2312"/>
                <w:color w:val="auto"/>
                <w:sz w:val="24"/>
                <w:szCs w:val="24"/>
              </w:rPr>
              <w:t>总价(人民币大写):</w:t>
            </w:r>
          </w:p>
        </w:tc>
      </w:tr>
    </w:tbl>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期自签订之日起1年。采购数量为暂估量，实际采购量有可能多于或少于暂估量。乙方承诺在合同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 xml:space="preserve">期内，单价不变，甲方可根据实际生产计划，按照合同价格，调整采购数量，最终按实际供货数量结算。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2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乙方将货物运达甲方指定交货地点后,在甲方指定地磅进行双向称量确定到货数量，</w:t>
      </w:r>
      <w:r>
        <w:rPr>
          <w:rFonts w:ascii="仿宋_GB2312" w:hAnsi="宋体" w:eastAsia="仿宋_GB2312"/>
          <w:color w:val="auto"/>
          <w:sz w:val="24"/>
          <w:szCs w:val="24"/>
        </w:rPr>
        <w:t>双方指定人员现场确认过磅重量</w:t>
      </w:r>
      <w:r>
        <w:rPr>
          <w:rFonts w:hint="eastAsia" w:ascii="仿宋_GB2312" w:hAnsi="宋体" w:eastAsia="仿宋_GB2312"/>
          <w:color w:val="auto"/>
          <w:sz w:val="24"/>
          <w:szCs w:val="24"/>
        </w:rPr>
        <w:t>，并由双方在《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1、乙方保证在交货且数量验收后按照甲方要求办理出入库的有关手续。</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2、在货物使用过程中，如甲方生产出现异常问题，乙方应随时响应甲方的要求，指派技术人员提供免费现场指导，解决实际问题。</w:t>
      </w:r>
      <w:r>
        <w:rPr>
          <w:rFonts w:hint="eastAsia" w:ascii="仿宋_GB2312" w:hAnsi="宋体" w:eastAsia="仿宋_GB2312"/>
          <w:b/>
          <w:color w:val="auto"/>
          <w:sz w:val="24"/>
          <w:szCs w:val="24"/>
        </w:rPr>
        <w:t>如确系货物质量问题，乙方应当及时换货。</w:t>
      </w:r>
      <w:r>
        <w:rPr>
          <w:rFonts w:hint="eastAsia" w:ascii="仿宋_GB2312" w:hAnsi="宋体" w:eastAsia="仿宋_GB2312"/>
          <w:color w:val="auto"/>
          <w:sz w:val="24"/>
          <w:szCs w:val="24"/>
        </w:rPr>
        <w:t>期间乙方技术人员所产生的一切费用自行承担。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spacing w:line="360" w:lineRule="auto"/>
        <w:ind w:firstLine="520" w:firstLineChars="217"/>
        <w:rPr>
          <w:rFonts w:ascii="仿宋_GB2312" w:hAnsi="宋体" w:eastAsia="仿宋_GB2312"/>
          <w:color w:val="auto"/>
          <w:sz w:val="24"/>
          <w:szCs w:val="24"/>
        </w:rPr>
      </w:pPr>
    </w:p>
    <w:p>
      <w:pPr>
        <w:pStyle w:val="8"/>
        <w:spacing w:line="360" w:lineRule="auto"/>
        <w:rPr>
          <w:rStyle w:val="13"/>
          <w:rFonts w:eastAsia="仿宋_GB2312"/>
          <w:b/>
          <w:color w:val="auto"/>
          <w:spacing w:val="0"/>
          <w:sz w:val="44"/>
          <w:lang w:val="en-GB"/>
        </w:rPr>
      </w:pPr>
      <w:bookmarkStart w:id="47" w:name="_Toc509229876"/>
      <w:bookmarkStart w:id="48" w:name="_Toc473012597"/>
      <w:r>
        <w:rPr>
          <w:rStyle w:val="13"/>
          <w:rFonts w:eastAsia="黑体"/>
          <w:b/>
          <w:color w:val="auto"/>
          <w:spacing w:val="0"/>
          <w:sz w:val="36"/>
        </w:rPr>
        <w:br w:type="page"/>
      </w:r>
      <w:r>
        <w:rPr>
          <w:rStyle w:val="13"/>
          <w:rFonts w:hint="eastAsia" w:ascii="仿宋_GB2312" w:eastAsia="仿宋_GB2312"/>
          <w:b/>
          <w:color w:val="auto"/>
          <w:spacing w:val="0"/>
          <w:sz w:val="44"/>
          <w:lang w:val="en-GB"/>
        </w:rPr>
        <w:t xml:space="preserve">第五部分  </w:t>
      </w:r>
      <w:bookmarkEnd w:id="47"/>
      <w:bookmarkEnd w:id="48"/>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2021年临江公司三固项目重捕剂采购项目</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202103008</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2021年临江公司三固项目重捕剂采购</w:t>
      </w:r>
      <w:r>
        <w:rPr>
          <w:rFonts w:hint="eastAsia" w:ascii="仿宋_GB2312" w:eastAsia="仿宋_GB2312"/>
          <w:color w:val="auto"/>
          <w:sz w:val="24"/>
          <w:szCs w:val="24"/>
        </w:rPr>
        <w:t>（招标项目名称）编号为</w:t>
      </w:r>
      <w:r>
        <w:rPr>
          <w:rFonts w:hint="eastAsia" w:ascii="仿宋_GB2312" w:eastAsia="仿宋_GB2312"/>
          <w:color w:val="auto"/>
          <w:sz w:val="24"/>
          <w:szCs w:val="24"/>
          <w:u w:val="single"/>
          <w:lang w:val="en-US" w:eastAsia="zh-CN"/>
        </w:rPr>
        <w:t>202103008</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 xml:space="preserve">2021年临江公司三固项目重捕剂采购 </w:t>
      </w:r>
      <w:r>
        <w:rPr>
          <w:rFonts w:hint="eastAsia" w:ascii="仿宋_GB2312" w:eastAsia="仿宋_GB2312"/>
          <w:color w:val="auto"/>
          <w:sz w:val="30"/>
        </w:rPr>
        <w:t>编号为</w:t>
      </w:r>
      <w:r>
        <w:rPr>
          <w:rFonts w:hint="eastAsia" w:ascii="仿宋_GB2312" w:eastAsia="仿宋_GB2312"/>
          <w:color w:val="auto"/>
          <w:sz w:val="30"/>
          <w:u w:val="single"/>
          <w:lang w:val="en-US" w:eastAsia="zh-CN"/>
        </w:rPr>
        <w:t>202103008</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  月  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2021年临江公司三固项目重捕剂采购    </w:t>
      </w:r>
      <w:r>
        <w:rPr>
          <w:rFonts w:hint="eastAsia" w:ascii="仿宋_GB2312" w:eastAsia="仿宋_GB2312"/>
          <w:snapToGrid w:val="0"/>
          <w:color w:val="auto"/>
          <w:sz w:val="30"/>
        </w:rPr>
        <w:t>项目的投标，具体如下：</w:t>
      </w:r>
      <w:r>
        <w:rPr>
          <w:rFonts w:hint="eastAsia" w:ascii="仿宋_GB2312" w:eastAsia="仿宋_GB2312"/>
          <w:color w:val="auto"/>
          <w:sz w:val="30"/>
        </w:rPr>
        <w:t xml:space="preserve">（税率为    %）   </w:t>
      </w:r>
    </w:p>
    <w:tbl>
      <w:tblPr>
        <w:tblStyle w:val="9"/>
        <w:tblpPr w:leftFromText="180" w:rightFromText="180" w:vertAnchor="text" w:horzAnchor="margin" w:tblpXSpec="center" w:tblpY="158"/>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4"/>
        <w:gridCol w:w="3641"/>
        <w:gridCol w:w="1252"/>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序号</w:t>
            </w:r>
          </w:p>
        </w:tc>
        <w:tc>
          <w:tcPr>
            <w:tcW w:w="1344" w:type="dxa"/>
            <w:vAlign w:val="center"/>
          </w:tcPr>
          <w:p>
            <w:pPr>
              <w:spacing w:line="360" w:lineRule="auto"/>
              <w:ind w:left="1"/>
              <w:jc w:val="center"/>
              <w:rPr>
                <w:rFonts w:ascii="仿宋_GB2312" w:hAnsi="宋体" w:eastAsia="仿宋_GB2312"/>
                <w:color w:val="auto"/>
                <w:sz w:val="24"/>
                <w:szCs w:val="24"/>
              </w:rPr>
            </w:pPr>
            <w:r>
              <w:rPr>
                <w:rFonts w:hint="eastAsia" w:ascii="仿宋_GB2312" w:hAnsi="宋体" w:eastAsia="仿宋_GB2312"/>
                <w:color w:val="auto"/>
                <w:sz w:val="24"/>
                <w:szCs w:val="24"/>
              </w:rPr>
              <w:t>产品名称</w:t>
            </w:r>
          </w:p>
        </w:tc>
        <w:tc>
          <w:tcPr>
            <w:tcW w:w="364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技术指标</w:t>
            </w:r>
          </w:p>
        </w:tc>
        <w:tc>
          <w:tcPr>
            <w:tcW w:w="1252"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单价（元）</w:t>
            </w:r>
          </w:p>
        </w:tc>
        <w:tc>
          <w:tcPr>
            <w:tcW w:w="124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数量（吨）</w:t>
            </w:r>
          </w:p>
        </w:tc>
        <w:tc>
          <w:tcPr>
            <w:tcW w:w="85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1344" w:type="dxa"/>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重捕剂</w:t>
            </w:r>
          </w:p>
        </w:tc>
        <w:tc>
          <w:tcPr>
            <w:tcW w:w="3641" w:type="dxa"/>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eastAsia="仿宋_GB2312"/>
                <w:color w:val="auto"/>
                <w:sz w:val="24"/>
                <w:szCs w:val="24"/>
              </w:rPr>
              <w:t>利用自身分子中极性基产生的强烈负电场螯合废水中的Cu2+、Ni2+、Zn2+、Cr3+、Pb2+、Cd2+等重金属离子，生成不溶于水的絮状沉淀物，达到清除重金属离子的目的，包装：25KG/桶。</w:t>
            </w:r>
            <w:r>
              <w:rPr>
                <w:rFonts w:hint="eastAsia" w:ascii="仿宋_GB2312" w:hAnsi="宋体" w:eastAsia="仿宋_GB2312"/>
                <w:color w:val="auto"/>
                <w:sz w:val="24"/>
                <w:szCs w:val="24"/>
              </w:rPr>
              <w:t>氨基硫化合物有效含量≥95%，PH值：9.5-12.5；适用PH 范围：3-12。</w:t>
            </w:r>
          </w:p>
        </w:tc>
        <w:tc>
          <w:tcPr>
            <w:tcW w:w="1252"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暂估30</w:t>
            </w:r>
            <w:r>
              <w:rPr>
                <w:rFonts w:hint="eastAsia" w:ascii="仿宋_GB2312" w:eastAsia="仿宋_GB2312"/>
                <w:color w:val="auto"/>
                <w:sz w:val="24"/>
                <w:szCs w:val="24"/>
              </w:rPr>
              <w:t>吨</w:t>
            </w: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1344" w:type="dxa"/>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合计</w:t>
            </w:r>
          </w:p>
        </w:tc>
        <w:tc>
          <w:tcPr>
            <w:tcW w:w="3641" w:type="dxa"/>
            <w:vAlign w:val="center"/>
          </w:tcPr>
          <w:p>
            <w:pPr>
              <w:spacing w:line="360" w:lineRule="auto"/>
              <w:jc w:val="center"/>
              <w:outlineLvl w:val="0"/>
              <w:rPr>
                <w:rFonts w:ascii="仿宋_GB2312" w:hAnsi="宋体" w:eastAsia="仿宋_GB2312"/>
                <w:color w:val="auto"/>
                <w:sz w:val="24"/>
                <w:szCs w:val="24"/>
              </w:rPr>
            </w:pPr>
          </w:p>
        </w:tc>
        <w:tc>
          <w:tcPr>
            <w:tcW w:w="1252"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vAlign w:val="center"/>
          </w:tcPr>
          <w:p>
            <w:pPr>
              <w:spacing w:line="360" w:lineRule="auto"/>
              <w:ind w:firstLine="520" w:firstLineChars="217"/>
              <w:jc w:val="left"/>
              <w:rPr>
                <w:rFonts w:ascii="仿宋_GB2312" w:hAnsi="宋体" w:eastAsia="仿宋_GB2312"/>
                <w:color w:val="auto"/>
                <w:sz w:val="24"/>
                <w:szCs w:val="24"/>
              </w:rPr>
            </w:pPr>
            <w:r>
              <w:rPr>
                <w:rFonts w:hint="eastAsia" w:ascii="仿宋_GB2312" w:hAnsi="宋体" w:eastAsia="仿宋_GB2312"/>
                <w:color w:val="auto"/>
                <w:sz w:val="24"/>
                <w:szCs w:val="24"/>
              </w:rPr>
              <w:t>总价(人民币大写):</w:t>
            </w:r>
          </w:p>
        </w:tc>
      </w:tr>
    </w:tbl>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注：报价为卸货到招标人指定地点所需的所有费用（包括货款、运输、装卸、利润、税金等一切相关费用）。</w:t>
      </w:r>
    </w:p>
    <w:p>
      <w:pPr>
        <w:spacing w:line="480" w:lineRule="auto"/>
        <w:ind w:left="540" w:leftChars="257" w:firstLine="1980" w:firstLineChars="66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u w:val="single"/>
        </w:rPr>
      </w:pPr>
      <w:r>
        <w:rPr>
          <w:rFonts w:hint="eastAsia" w:ascii="仿宋_GB2312" w:eastAsia="仿宋_GB2312"/>
          <w:color w:val="auto"/>
          <w:sz w:val="30"/>
        </w:rPr>
        <w:t xml:space="preserve">                 授权代表签字：</w:t>
      </w:r>
    </w:p>
    <w:p>
      <w:pPr>
        <w:spacing w:after="120" w:line="480" w:lineRule="auto"/>
        <w:jc w:val="center"/>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  月  日   </w:t>
      </w:r>
    </w:p>
    <w:p>
      <w:pPr>
        <w:spacing w:line="480" w:lineRule="auto"/>
        <w:jc w:val="left"/>
        <w:rPr>
          <w:rFonts w:ascii="仿宋_GB2312" w:eastAsia="仿宋_GB2312"/>
          <w:b/>
          <w:color w:val="auto"/>
          <w:spacing w:val="-2"/>
          <w:sz w:val="30"/>
        </w:rPr>
      </w:pPr>
      <w:bookmarkStart w:id="49" w:name="_Toc103165678"/>
      <w:bookmarkStart w:id="50" w:name="_Toc108839328"/>
      <w:r>
        <w:rPr>
          <w:rStyle w:val="13"/>
          <w:rFonts w:hint="eastAsia" w:ascii="仿宋_GB2312" w:eastAsia="仿宋_GB2312"/>
          <w:color w:val="auto"/>
          <w:sz w:val="30"/>
        </w:rPr>
        <w:t>附件</w:t>
      </w:r>
      <w:bookmarkEnd w:id="49"/>
      <w:bookmarkEnd w:id="50"/>
      <w:r>
        <w:rPr>
          <w:rStyle w:val="13"/>
          <w:rFonts w:hint="eastAsia" w:ascii="仿宋_GB2312" w:eastAsia="仿宋_GB2312"/>
          <w:color w:val="auto"/>
          <w:sz w:val="30"/>
        </w:rPr>
        <w:t>五</w:t>
      </w:r>
    </w:p>
    <w:p>
      <w:pPr>
        <w:jc w:val="center"/>
        <w:rPr>
          <w:b/>
          <w:color w:val="auto"/>
          <w:spacing w:val="40"/>
          <w:sz w:val="36"/>
        </w:rPr>
      </w:pPr>
      <w:bookmarkStart w:id="51" w:name="_Toc102529523"/>
      <w:r>
        <w:rPr>
          <w:rFonts w:hint="eastAsia"/>
          <w:b/>
          <w:color w:val="auto"/>
          <w:spacing w:val="40"/>
          <w:sz w:val="36"/>
        </w:rPr>
        <w:t>招标要求偏离说明表</w:t>
      </w:r>
      <w:bookmarkEnd w:id="51"/>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授权代表签字：       日期：</w:t>
      </w:r>
    </w:p>
    <w:p>
      <w:pPr>
        <w:rPr>
          <w:color w:val="auto"/>
        </w:rPr>
      </w:pPr>
    </w:p>
    <w:p>
      <w:pPr>
        <w:pStyle w:val="2"/>
        <w:rPr>
          <w:color w:val="auto"/>
        </w:rPr>
      </w:pPr>
    </w:p>
    <w:p>
      <w:pPr>
        <w:rPr>
          <w:color w:val="auto"/>
        </w:rPr>
      </w:pPr>
    </w:p>
    <w:p>
      <w:pPr>
        <w:spacing w:line="480" w:lineRule="exact"/>
        <w:jc w:val="center"/>
        <w:rPr>
          <w:rFonts w:ascii="仿宋_GB2312" w:hAnsi="宋体" w:eastAsia="仿宋_GB2312"/>
          <w:b/>
          <w:bCs/>
          <w:color w:val="auto"/>
          <w:sz w:val="30"/>
          <w:szCs w:val="30"/>
        </w:r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附件七：</w:t>
      </w:r>
    </w:p>
    <w:p>
      <w:pPr>
        <w:spacing w:line="480" w:lineRule="exact"/>
        <w:jc w:val="center"/>
        <w:rPr>
          <w:rFonts w:ascii="仿宋_GB2312" w:eastAsia="仿宋_GB2312" w:cs="仿宋_GB2312"/>
          <w:b/>
          <w:color w:val="auto"/>
          <w:kern w:val="0"/>
          <w:sz w:val="30"/>
          <w:szCs w:val="30"/>
          <w:lang w:val="zh-CN"/>
        </w:rPr>
      </w:pPr>
    </w:p>
    <w:p>
      <w:pPr>
        <w:spacing w:line="480" w:lineRule="exact"/>
        <w:jc w:val="center"/>
        <w:rPr>
          <w:rFonts w:ascii="仿宋_GB2312" w:hAnsi="宋体" w:eastAsia="仿宋_GB2312"/>
          <w:b/>
          <w:bCs/>
          <w:color w:val="auto"/>
          <w:sz w:val="30"/>
          <w:szCs w:val="30"/>
        </w:rPr>
      </w:pPr>
      <w:r>
        <w:rPr>
          <w:rFonts w:hint="eastAsia" w:ascii="仿宋_GB2312" w:eastAsia="仿宋_GB2312" w:cs="仿宋_GB2312"/>
          <w:b/>
          <w:color w:val="auto"/>
          <w:kern w:val="0"/>
          <w:sz w:val="30"/>
          <w:szCs w:val="30"/>
          <w:lang w:val="zh-CN"/>
        </w:rPr>
        <w:t>主要业绩证明</w:t>
      </w:r>
    </w:p>
    <w:tbl>
      <w:tblPr>
        <w:tblStyle w:val="9"/>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日期：2021年  月   日</w:t>
      </w:r>
    </w:p>
    <w:p>
      <w:pPr>
        <w:spacing w:line="480" w:lineRule="exact"/>
        <w:rPr>
          <w:rFonts w:ascii="仿宋_GB2312" w:hAnsi="宋体" w:eastAsia="仿宋_GB2312"/>
          <w:b/>
          <w:bCs/>
          <w:color w:val="auto"/>
          <w:sz w:val="24"/>
        </w:rPr>
      </w:pPr>
    </w:p>
    <w:p>
      <w:pPr>
        <w:pStyle w:val="2"/>
        <w:rPr>
          <w:rFonts w:hint="eastAsia" w:ascii="宋体" w:hAnsi="宋体" w:eastAsia="宋体"/>
          <w:color w:val="auto"/>
          <w:sz w:val="28"/>
          <w:szCs w:val="28"/>
          <w:lang w:eastAsia="zh-CN"/>
        </w:rPr>
      </w:pPr>
      <w:bookmarkStart w:id="52" w:name="_GoBack"/>
      <w:bookmarkEnd w:id="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29</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B638F3"/>
    <w:rsid w:val="00012067"/>
    <w:rsid w:val="00023EF2"/>
    <w:rsid w:val="000C62F8"/>
    <w:rsid w:val="000D5B50"/>
    <w:rsid w:val="001E1E0A"/>
    <w:rsid w:val="003458C6"/>
    <w:rsid w:val="003D3546"/>
    <w:rsid w:val="004B06D9"/>
    <w:rsid w:val="005F0FC2"/>
    <w:rsid w:val="0070285B"/>
    <w:rsid w:val="007730E7"/>
    <w:rsid w:val="007B0DB2"/>
    <w:rsid w:val="00802AD7"/>
    <w:rsid w:val="008D6557"/>
    <w:rsid w:val="00A0365E"/>
    <w:rsid w:val="00AA421B"/>
    <w:rsid w:val="00AE32A3"/>
    <w:rsid w:val="00B54C47"/>
    <w:rsid w:val="00C30C1F"/>
    <w:rsid w:val="00CA2AFF"/>
    <w:rsid w:val="00D01925"/>
    <w:rsid w:val="00D93491"/>
    <w:rsid w:val="00F23B07"/>
    <w:rsid w:val="00F4013D"/>
    <w:rsid w:val="00FA318C"/>
    <w:rsid w:val="03006B0B"/>
    <w:rsid w:val="053573F9"/>
    <w:rsid w:val="05F619A1"/>
    <w:rsid w:val="06204129"/>
    <w:rsid w:val="0FCB75E5"/>
    <w:rsid w:val="10B0303E"/>
    <w:rsid w:val="12BC4D16"/>
    <w:rsid w:val="16B638F3"/>
    <w:rsid w:val="16D639F7"/>
    <w:rsid w:val="19993538"/>
    <w:rsid w:val="1AF54722"/>
    <w:rsid w:val="1C48188B"/>
    <w:rsid w:val="1F7A065F"/>
    <w:rsid w:val="22C354B3"/>
    <w:rsid w:val="2403071E"/>
    <w:rsid w:val="242B7D50"/>
    <w:rsid w:val="283C5258"/>
    <w:rsid w:val="28D0736C"/>
    <w:rsid w:val="2EB336F7"/>
    <w:rsid w:val="335D386F"/>
    <w:rsid w:val="34C82F8A"/>
    <w:rsid w:val="35786281"/>
    <w:rsid w:val="362C23BC"/>
    <w:rsid w:val="36ED15AA"/>
    <w:rsid w:val="399C4894"/>
    <w:rsid w:val="3E2A18B9"/>
    <w:rsid w:val="3F2844CF"/>
    <w:rsid w:val="44E93DE3"/>
    <w:rsid w:val="458F2CAC"/>
    <w:rsid w:val="474754EB"/>
    <w:rsid w:val="4A6D721F"/>
    <w:rsid w:val="4E6571AD"/>
    <w:rsid w:val="4E9833B6"/>
    <w:rsid w:val="502631ED"/>
    <w:rsid w:val="50B82B49"/>
    <w:rsid w:val="55277A9F"/>
    <w:rsid w:val="56A469C5"/>
    <w:rsid w:val="57A25BD3"/>
    <w:rsid w:val="57B1102B"/>
    <w:rsid w:val="57FE54D7"/>
    <w:rsid w:val="59582E90"/>
    <w:rsid w:val="59B221C7"/>
    <w:rsid w:val="5B8676E2"/>
    <w:rsid w:val="5ECF2BA4"/>
    <w:rsid w:val="5EFA3FB5"/>
    <w:rsid w:val="64520EC3"/>
    <w:rsid w:val="657F5D4D"/>
    <w:rsid w:val="660648A4"/>
    <w:rsid w:val="68BF354D"/>
    <w:rsid w:val="694F2ECE"/>
    <w:rsid w:val="6D9F7A3A"/>
    <w:rsid w:val="703936A9"/>
    <w:rsid w:val="76CB0923"/>
    <w:rsid w:val="78715B20"/>
    <w:rsid w:val="7B8A1BFB"/>
    <w:rsid w:val="7CC60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font01"/>
    <w:basedOn w:val="10"/>
    <w:qFormat/>
    <w:uiPriority w:val="0"/>
    <w:rPr>
      <w:rFonts w:hint="eastAsia" w:ascii="宋体" w:hAnsi="宋体" w:eastAsia="宋体" w:cs="宋体"/>
      <w:color w:val="000000"/>
      <w:sz w:val="24"/>
      <w:szCs w:val="24"/>
      <w:u w:val="none"/>
      <w:vertAlign w:val="superscript"/>
    </w:rPr>
  </w:style>
  <w:style w:type="character" w:customStyle="1" w:styleId="20">
    <w:name w:val="font21"/>
    <w:basedOn w:val="10"/>
    <w:qFormat/>
    <w:uiPriority w:val="0"/>
    <w:rPr>
      <w:rFonts w:hint="eastAsia" w:ascii="宋体" w:hAnsi="宋体" w:eastAsia="宋体" w:cs="宋体"/>
      <w:color w:val="000000"/>
      <w:sz w:val="24"/>
      <w:szCs w:val="24"/>
      <w:u w:val="none"/>
    </w:rPr>
  </w:style>
  <w:style w:type="character" w:customStyle="1" w:styleId="21">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2200</Words>
  <Characters>12545</Characters>
  <Lines>104</Lines>
  <Paragraphs>29</Paragraphs>
  <TotalTime>2</TotalTime>
  <ScaleCrop>false</ScaleCrop>
  <LinksUpToDate>false</LinksUpToDate>
  <CharactersWithSpaces>14716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2021-02-25T07:49:00Z</dcterms:created>
  <dc:creator>Echo</dc:creator>
  <cp:lastModifiedBy>叶钐湖</cp:lastModifiedBy>
  <cp:lastPrinted>2021-03-04T08:28:00Z</cp:lastPrinted>
  <dcterms:modified xsi:type="dcterms:W3CDTF">2021-03-19T02:37:03Z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D4CA8588466A4204B2E8E3B01F6696F2</vt:lpwstr>
  </property>
</Properties>
</file>