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202103004</w:t>
      </w:r>
    </w:p>
    <w:p>
      <w:pPr>
        <w:spacing w:line="360" w:lineRule="auto"/>
        <w:jc w:val="center"/>
        <w:rPr>
          <w:rFonts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2021年临江公司三固项目电气普通备品备件采购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29880"/>
      <w:bookmarkStart w:id="5" w:name="_Hlt509230069"/>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8"/>
      <w:bookmarkStart w:id="12" w:name="_Hlt509230090"/>
      <w:bookmarkStart w:id="13" w:name="_Hlt509229877"/>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8292"/>
      <w:bookmarkStart w:id="15" w:name="_Toc473012590"/>
      <w:bookmarkStart w:id="16" w:name="_Toc509229818"/>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就杭州第三固废处置中心一期项目电气普通备品备件采购进行公开招标，欢迎符合要求的投标人参加投标。</w:t>
      </w:r>
    </w:p>
    <w:p>
      <w:pPr>
        <w:pStyle w:val="3"/>
        <w:numPr>
          <w:ilvl w:val="0"/>
          <w:numId w:val="1"/>
        </w:numPr>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lang w:eastAsia="zh-CN"/>
        </w:rPr>
        <w:t>招标编号：</w:t>
      </w:r>
      <w:r>
        <w:rPr>
          <w:rFonts w:hint="eastAsia" w:ascii="仿宋_GB2312" w:hAnsi="宋体" w:eastAsia="仿宋_GB2312"/>
          <w:color w:val="auto"/>
          <w:sz w:val="24"/>
          <w:szCs w:val="24"/>
          <w:lang w:val="en-US" w:eastAsia="zh-CN"/>
        </w:rPr>
        <w:t>202103004</w:t>
      </w:r>
    </w:p>
    <w:p>
      <w:pPr>
        <w:pStyle w:val="3"/>
        <w:numPr>
          <w:ilvl w:val="0"/>
          <w:numId w:val="1"/>
        </w:numPr>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招标内容及</w:t>
      </w:r>
      <w:r>
        <w:rPr>
          <w:rFonts w:ascii="仿宋_GB2312" w:hAnsi="宋体" w:eastAsia="仿宋_GB2312"/>
          <w:color w:val="auto"/>
          <w:sz w:val="24"/>
          <w:szCs w:val="24"/>
        </w:rPr>
        <w:t>要求</w:t>
      </w:r>
    </w:p>
    <w:p>
      <w:pPr>
        <w:pStyle w:val="3"/>
        <w:numPr>
          <w:numId w:val="0"/>
        </w:num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1、货物名称：电气普通备品备件。</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2、计划采购数量：详见清单附件八。</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ascii="仿宋_GB2312" w:hAnsi="宋体" w:eastAsia="仿宋_GB2312"/>
          <w:b/>
          <w:color w:val="auto"/>
          <w:sz w:val="24"/>
          <w:szCs w:val="24"/>
        </w:rPr>
      </w:pPr>
      <w:r>
        <w:rPr>
          <w:rFonts w:hint="eastAsia" w:ascii="仿宋_GB2312" w:hAnsi="宋体" w:eastAsia="仿宋_GB2312"/>
          <w:color w:val="auto"/>
          <w:sz w:val="24"/>
          <w:szCs w:val="24"/>
        </w:rPr>
        <w:t>3.1</w:t>
      </w:r>
      <w:r>
        <w:rPr>
          <w:rFonts w:hint="eastAsia" w:ascii="仿宋_GB2312" w:hAnsi="宋体" w:eastAsia="仿宋_GB2312"/>
          <w:b/>
          <w:color w:val="auto"/>
          <w:sz w:val="24"/>
          <w:szCs w:val="24"/>
        </w:rPr>
        <w:t>有推荐品牌的，可选择任一品牌投标；无推荐品牌的，自行选择符合国家标准的品牌；</w:t>
      </w:r>
    </w:p>
    <w:p>
      <w:pPr>
        <w:pStyle w:val="18"/>
        <w:widowControl/>
        <w:spacing w:line="360" w:lineRule="auto"/>
        <w:ind w:firstLine="482"/>
        <w:jc w:val="left"/>
        <w:rPr>
          <w:rFonts w:ascii="仿宋_GB2312" w:hAnsi="宋体" w:eastAsia="仿宋_GB2312"/>
          <w:b/>
          <w:color w:val="auto"/>
          <w:sz w:val="24"/>
          <w:szCs w:val="24"/>
        </w:rPr>
      </w:pPr>
      <w:r>
        <w:rPr>
          <w:rFonts w:hint="eastAsia" w:ascii="仿宋_GB2312" w:hAnsi="宋体" w:eastAsia="仿宋_GB2312"/>
          <w:b/>
          <w:color w:val="auto"/>
          <w:sz w:val="24"/>
          <w:szCs w:val="24"/>
        </w:rPr>
        <w:t>3.2 投标人所投物资必须为原厂正品，不得为假冒伪劣产品。</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5、最高限价：限价总金额40.4886万元。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lang w:eastAsia="zh-CN"/>
        </w:rPr>
        <w:t>三</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eastAsia="zh-CN"/>
        </w:rPr>
        <w:t>四</w:t>
      </w:r>
      <w:r>
        <w:rPr>
          <w:rFonts w:hint="eastAsia" w:ascii="仿宋_GB2312" w:hAnsi="宋体" w:eastAsia="仿宋_GB2312"/>
          <w:color w:val="auto"/>
          <w:sz w:val="24"/>
          <w:szCs w:val="24"/>
        </w:rPr>
        <w:t>、投标人的资格要求。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w:t>
      </w:r>
      <w:r>
        <w:rPr>
          <w:rFonts w:hint="eastAsia" w:ascii="仿宋_GB2312" w:hAnsi="宋体" w:eastAsia="仿宋_GB2312"/>
          <w:bCs/>
          <w:color w:val="auto"/>
          <w:sz w:val="24"/>
          <w:szCs w:val="24"/>
        </w:rPr>
        <w:t>电气普通备品备件</w:t>
      </w:r>
      <w:r>
        <w:rPr>
          <w:rFonts w:hint="eastAsia" w:ascii="仿宋_GB2312" w:hAnsi="宋体" w:eastAsia="仿宋_GB2312"/>
          <w:color w:val="auto"/>
          <w:sz w:val="24"/>
          <w:szCs w:val="24"/>
        </w:rPr>
        <w:t>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eastAsia="zh-CN"/>
        </w:rPr>
        <w:t>五</w:t>
      </w:r>
      <w:r>
        <w:rPr>
          <w:rFonts w:hint="eastAsia" w:ascii="仿宋_GB2312" w:hAnsi="宋体" w:eastAsia="仿宋_GB2312"/>
          <w:color w:val="auto"/>
          <w:sz w:val="24"/>
          <w:szCs w:val="24"/>
        </w:rPr>
        <w:t>、报名时间与地点。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月</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eastAsia="zh-CN"/>
        </w:rPr>
        <w:t>六</w:t>
      </w:r>
      <w:r>
        <w:rPr>
          <w:rFonts w:hint="eastAsia" w:ascii="仿宋_GB2312" w:hAnsi="宋体" w:eastAsia="仿宋_GB2312"/>
          <w:color w:val="auto"/>
          <w:sz w:val="24"/>
          <w:szCs w:val="24"/>
        </w:rPr>
        <w:t>、投标截止时间和地点。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eastAsia="zh-CN"/>
        </w:rPr>
        <w:t>七</w:t>
      </w:r>
      <w:r>
        <w:rPr>
          <w:rFonts w:hint="eastAsia" w:ascii="仿宋_GB2312" w:hAnsi="宋体" w:eastAsia="仿宋_GB2312"/>
          <w:color w:val="auto"/>
          <w:sz w:val="24"/>
          <w:szCs w:val="24"/>
        </w:rPr>
        <w:t>、开标时间和地点。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八</w:t>
      </w:r>
      <w:r>
        <w:rPr>
          <w:rFonts w:hint="eastAsia" w:ascii="仿宋_GB2312" w:hAnsi="仿宋_GB2312" w:eastAsia="仿宋_GB2312" w:cs="仿宋_GB2312"/>
          <w:color w:val="auto"/>
          <w:sz w:val="24"/>
          <w:szCs w:val="24"/>
        </w:rPr>
        <w:t>、质疑。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eastAsia="zh-CN"/>
        </w:rPr>
        <w:t>九</w:t>
      </w:r>
      <w:r>
        <w:rPr>
          <w:rFonts w:hint="eastAsia" w:ascii="仿宋_GB2312" w:hAnsi="宋体" w:eastAsia="仿宋_GB2312"/>
          <w:color w:val="auto"/>
          <w:sz w:val="24"/>
          <w:szCs w:val="24"/>
        </w:rPr>
        <w:t>、联系方式。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 xml:space="preserve">1年 </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 xml:space="preserve">月 </w:t>
      </w:r>
      <w:r>
        <w:rPr>
          <w:rFonts w:hint="eastAsia" w:ascii="仿宋_GB2312" w:hAnsi="宋体" w:eastAsia="仿宋_GB2312"/>
          <w:color w:val="auto"/>
          <w:sz w:val="24"/>
          <w:szCs w:val="24"/>
          <w:lang w:val="en-US" w:eastAsia="zh-CN"/>
        </w:rPr>
        <w:t>16</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8318"/>
      <w:bookmarkStart w:id="21" w:name="_Toc509229844"/>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2021年临江公司三固项目电气普通备品备件采购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202103004</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2"/>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限价总金额40.4886万元。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1、本招标项目投标保证金为8000元（大写</w:t>
            </w:r>
            <w:r>
              <w:rPr>
                <w:rFonts w:ascii="仿宋_GB2312" w:hAnsi="宋体" w:eastAsia="仿宋_GB2312"/>
                <w:color w:val="auto"/>
                <w:sz w:val="24"/>
                <w:szCs w:val="24"/>
              </w:rPr>
              <w:t>：</w:t>
            </w:r>
            <w:r>
              <w:rPr>
                <w:rFonts w:hint="eastAsia" w:ascii="仿宋_GB2312" w:hAnsi="宋体" w:eastAsia="仿宋_GB2312"/>
                <w:color w:val="auto"/>
                <w:sz w:val="24"/>
                <w:szCs w:val="24"/>
              </w:rPr>
              <w:t>捌仟整），投标人应在投标截止日前以电汇或网银转账方式缴纳至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（须注明：2021年临江公司三固项目电气普通备品备件采购投标保证金）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3"/>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3"/>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杭州第三固废处置中心一期项目电气普通备品备件采购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杭州第三固废处置中心一期项目电气普通备品备件采购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w:t>
      </w:r>
      <w:r>
        <w:rPr>
          <w:rFonts w:hint="eastAsia" w:ascii="仿宋_GB2312" w:hAnsi="宋体" w:eastAsia="仿宋_GB2312" w:cs="宋体"/>
          <w:b/>
          <w:color w:val="auto"/>
          <w:spacing w:val="4"/>
          <w:sz w:val="24"/>
          <w:szCs w:val="24"/>
        </w:rPr>
        <w:t>电气普通备品备件</w:t>
      </w:r>
      <w:r>
        <w:rPr>
          <w:rFonts w:hint="eastAsia" w:ascii="仿宋_GB2312" w:hAnsi="宋体" w:eastAsia="仿宋_GB2312" w:cs="宋体"/>
          <w:color w:val="auto"/>
          <w:spacing w:val="4"/>
          <w:sz w:val="24"/>
          <w:szCs w:val="24"/>
        </w:rPr>
        <w:t>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815040"/>
      <w:bookmarkStart w:id="39" w:name="_Toc37911648"/>
      <w:bookmarkStart w:id="40" w:name="_Toc37911758"/>
      <w:bookmarkStart w:id="41" w:name="_Toc3791203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color w:val="auto"/>
                <w:sz w:val="24"/>
                <w:szCs w:val="24"/>
              </w:rPr>
            </w:pPr>
            <w:bookmarkStart w:id="42" w:name="_Toc509229846"/>
            <w:bookmarkStart w:id="43" w:name="_Toc509228383"/>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电气普通备品备件</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一批</w:t>
            </w:r>
          </w:p>
        </w:tc>
        <w:tc>
          <w:tcPr>
            <w:tcW w:w="2265"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详见清单附件八</w:t>
            </w:r>
          </w:p>
        </w:tc>
        <w:tc>
          <w:tcPr>
            <w:tcW w:w="1165"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40.4886万元</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中标人要保证电气普通备品备件的质量符合国家标准或者行业标准要求，对不符合要求的电气普通备品备件，中标人无条件予以调换。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473012596"/>
      <w:bookmarkStart w:id="45" w:name="_Toc509228412"/>
      <w:bookmarkStart w:id="46" w:name="_Toc509229875"/>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bookmarkStart w:id="47" w:name="_Toc509229876"/>
      <w:bookmarkStart w:id="48" w:name="_Toc473012597"/>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就甲方向乙方采购电气普通备品备件事宜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b/>
          <w:color w:val="auto"/>
          <w:sz w:val="24"/>
          <w:szCs w:val="24"/>
        </w:rPr>
      </w:pPr>
      <w:r>
        <w:rPr>
          <w:rFonts w:hint="eastAsia" w:ascii="仿宋_GB2312" w:hAnsi="宋体" w:eastAsia="仿宋_GB2312"/>
          <w:color w:val="auto"/>
          <w:sz w:val="24"/>
          <w:szCs w:val="24"/>
        </w:rPr>
        <w:t>一、产品名称、技术指标、单价、数量、总价</w:t>
      </w:r>
      <w:r>
        <w:rPr>
          <w:rFonts w:hint="eastAsia" w:ascii="仿宋_GB2312" w:hAnsi="宋体" w:eastAsia="仿宋_GB2312"/>
          <w:b/>
          <w:bCs/>
          <w:color w:val="auto"/>
          <w:sz w:val="24"/>
          <w:szCs w:val="24"/>
        </w:rPr>
        <w:t>详见附件清单</w:t>
      </w:r>
      <w:r>
        <w:rPr>
          <w:rFonts w:hint="eastAsia" w:ascii="仿宋_GB2312" w:hAnsi="宋体" w:eastAsia="仿宋_GB2312"/>
          <w:color w:val="auto"/>
          <w:sz w:val="24"/>
          <w:szCs w:val="24"/>
        </w:rPr>
        <w:t>：（金额单位:元）</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 xml:space="preserve">期自签订之日起1年。采购数量为暂估量，实际采购量有可能多于或少于暂估量。乙方承诺在合同有效期内，单价不变，甲方可根据实际生产计划，按照合同价格，调整采购数量，最终按实际供货数量结算。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w:t>
      </w:r>
      <w:r>
        <w:rPr>
          <w:rFonts w:hint="eastAsia" w:ascii="仿宋_GB2312" w:eastAsia="仿宋_GB2312"/>
          <w:b/>
          <w:color w:val="auto"/>
          <w:sz w:val="24"/>
          <w:szCs w:val="24"/>
        </w:rPr>
        <w:t>如对抽检结果有异议，委托第三方检测机构进行质量检测，检测费用由乙方承担；</w:t>
      </w:r>
      <w:r>
        <w:rPr>
          <w:rFonts w:hint="eastAsia" w:ascii="仿宋_GB2312" w:hAnsi="宋体" w:eastAsia="仿宋_GB2312"/>
          <w:color w:val="auto"/>
          <w:sz w:val="24"/>
          <w:szCs w:val="24"/>
        </w:rPr>
        <w:t>对不符合要求的产品，甲方有权利要求乙方调换</w:t>
      </w:r>
      <w:r>
        <w:rPr>
          <w:rFonts w:hint="eastAsia" w:ascii="仿宋_GB2312"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b/>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2、在货物使用过程中，如甲方生产出现异常问题，乙方应随时响应甲方的要求，指派技术人员提供免费现场指导，解决实际问题。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w:t>
      </w:r>
      <w:r>
        <w:rPr>
          <w:rFonts w:hint="eastAsia" w:ascii="仿宋_GB2312" w:hAnsi="宋体" w:eastAsia="仿宋_GB2312"/>
          <w:b/>
          <w:color w:val="auto"/>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w:t>
      </w:r>
      <w:r>
        <w:rPr>
          <w:rFonts w:hint="eastAsia" w:ascii="仿宋_GB2312" w:hAnsi="宋体" w:eastAsia="仿宋_GB2312"/>
          <w:b/>
          <w:color w:val="auto"/>
          <w:sz w:val="24"/>
          <w:szCs w:val="24"/>
        </w:rPr>
        <w:t>，以及合同附件</w:t>
      </w:r>
      <w:r>
        <w:rPr>
          <w:rFonts w:hint="eastAsia" w:ascii="仿宋_GB2312" w:hAnsi="宋体" w:eastAsia="仿宋_GB2312"/>
          <w:color w:val="auto"/>
          <w:sz w:val="24"/>
          <w:szCs w:val="24"/>
        </w:rPr>
        <w:t>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pStyle w:val="8"/>
        <w:spacing w:line="360" w:lineRule="auto"/>
        <w:jc w:val="both"/>
        <w:rPr>
          <w:rStyle w:val="13"/>
          <w:rFonts w:eastAsia="仿宋_GB2312"/>
          <w:b/>
          <w:color w:val="auto"/>
          <w:spacing w:val="0"/>
          <w:szCs w:val="24"/>
        </w:rPr>
      </w:pPr>
    </w:p>
    <w:p>
      <w:pPr>
        <w:pStyle w:val="8"/>
        <w:spacing w:line="360" w:lineRule="auto"/>
        <w:jc w:val="both"/>
        <w:rPr>
          <w:rStyle w:val="13"/>
          <w:rFonts w:eastAsia="仿宋_GB2312"/>
          <w:b/>
          <w:color w:val="auto"/>
          <w:spacing w:val="0"/>
          <w:szCs w:val="24"/>
        </w:rPr>
      </w:pPr>
      <w:r>
        <w:rPr>
          <w:rStyle w:val="13"/>
          <w:rFonts w:hint="eastAsia" w:eastAsia="仿宋_GB2312"/>
          <w:b/>
          <w:color w:val="auto"/>
          <w:spacing w:val="0"/>
          <w:szCs w:val="24"/>
        </w:rPr>
        <w:t>附件：</w:t>
      </w:r>
    </w:p>
    <w:p>
      <w:pPr>
        <w:pStyle w:val="8"/>
        <w:spacing w:line="360" w:lineRule="auto"/>
        <w:rPr>
          <w:rStyle w:val="13"/>
          <w:rFonts w:ascii="仿宋_GB2312" w:eastAsia="仿宋_GB2312"/>
          <w:b/>
          <w:color w:val="auto"/>
          <w:spacing w:val="0"/>
          <w:sz w:val="44"/>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eastAsia="仿宋_GB2312"/>
          <w:b/>
          <w:color w:val="auto"/>
          <w:spacing w:val="0"/>
          <w:sz w:val="44"/>
          <w:lang w:val="en-GB"/>
        </w:rPr>
      </w:pP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2021年临江公司三固项目电气普通备品备件采购项目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202103004</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2021年临江公司三固项目电气普通备品备件采购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202103004</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2021年临江公司三固项目电气普通备品备件采购     </w:t>
      </w:r>
      <w:r>
        <w:rPr>
          <w:rFonts w:hint="eastAsia" w:ascii="仿宋_GB2312" w:eastAsia="仿宋_GB2312"/>
          <w:color w:val="auto"/>
          <w:sz w:val="30"/>
        </w:rPr>
        <w:t>（招标项目名称）编号为</w:t>
      </w:r>
      <w:r>
        <w:rPr>
          <w:rFonts w:hint="eastAsia" w:ascii="仿宋_GB2312" w:eastAsia="仿宋_GB2312"/>
          <w:color w:val="auto"/>
          <w:sz w:val="30"/>
          <w:u w:val="single"/>
          <w:lang w:val="en-US" w:eastAsia="zh-CN"/>
        </w:rPr>
        <w:t>202103004</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2021年临江公司三固项目电气普通备品备件采购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8839328"/>
      <w:bookmarkStart w:id="50" w:name="_Toc10316567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pStyle w:val="2"/>
        <w:rPr>
          <w:rFonts w:ascii="宋体" w:hAnsi="宋体" w:eastAsia="宋体"/>
          <w:color w:val="auto"/>
          <w:sz w:val="28"/>
          <w:szCs w:val="28"/>
        </w:rPr>
      </w:pPr>
    </w:p>
    <w:p>
      <w:pPr>
        <w:spacing w:line="480" w:lineRule="exac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pStyle w:val="2"/>
        <w:rPr>
          <w:color w:val="auto"/>
        </w:rPr>
      </w:pPr>
    </w:p>
    <w:p>
      <w:pPr>
        <w:rPr>
          <w:color w:val="auto"/>
        </w:rPr>
      </w:pPr>
    </w:p>
    <w:p>
      <w:pPr>
        <w:rPr>
          <w:color w:val="auto"/>
        </w:rPr>
      </w:pPr>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21</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658AB"/>
    <w:multiLevelType w:val="singleLevel"/>
    <w:tmpl w:val="50C658AB"/>
    <w:lvl w:ilvl="0" w:tentative="0">
      <w:start w:val="1"/>
      <w:numFmt w:val="chineseCounting"/>
      <w:suff w:val="nothing"/>
      <w:lvlText w:val="%1、"/>
      <w:lvlJc w:val="left"/>
      <w:rPr>
        <w:rFonts w:hint="eastAsia"/>
      </w:r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588B"/>
    <w:rsid w:val="00085C8D"/>
    <w:rsid w:val="000A3AD0"/>
    <w:rsid w:val="000C0949"/>
    <w:rsid w:val="000C62F8"/>
    <w:rsid w:val="0010744E"/>
    <w:rsid w:val="00110710"/>
    <w:rsid w:val="001E1E0A"/>
    <w:rsid w:val="001E4CE6"/>
    <w:rsid w:val="003458C6"/>
    <w:rsid w:val="003C6BC6"/>
    <w:rsid w:val="00413693"/>
    <w:rsid w:val="004B559B"/>
    <w:rsid w:val="004D1CA2"/>
    <w:rsid w:val="00594854"/>
    <w:rsid w:val="005B2DA7"/>
    <w:rsid w:val="005F590B"/>
    <w:rsid w:val="0070285B"/>
    <w:rsid w:val="00703D2B"/>
    <w:rsid w:val="0073795E"/>
    <w:rsid w:val="00771771"/>
    <w:rsid w:val="007B0DB2"/>
    <w:rsid w:val="007D5181"/>
    <w:rsid w:val="008D6557"/>
    <w:rsid w:val="0097524E"/>
    <w:rsid w:val="00A20227"/>
    <w:rsid w:val="00A52058"/>
    <w:rsid w:val="00AB18BA"/>
    <w:rsid w:val="00AB3DCC"/>
    <w:rsid w:val="00AC38F9"/>
    <w:rsid w:val="00B65C6A"/>
    <w:rsid w:val="00C1283B"/>
    <w:rsid w:val="00C36593"/>
    <w:rsid w:val="00CA2AFF"/>
    <w:rsid w:val="00D93491"/>
    <w:rsid w:val="00E2754C"/>
    <w:rsid w:val="00E76864"/>
    <w:rsid w:val="00F23AA3"/>
    <w:rsid w:val="00F4407D"/>
    <w:rsid w:val="00F872CC"/>
    <w:rsid w:val="03006B0B"/>
    <w:rsid w:val="053573F9"/>
    <w:rsid w:val="05F619A1"/>
    <w:rsid w:val="06204129"/>
    <w:rsid w:val="064542C5"/>
    <w:rsid w:val="0C96743B"/>
    <w:rsid w:val="0D611D8E"/>
    <w:rsid w:val="10B0303E"/>
    <w:rsid w:val="12BC4D16"/>
    <w:rsid w:val="163B66B0"/>
    <w:rsid w:val="16B638F3"/>
    <w:rsid w:val="1AF54722"/>
    <w:rsid w:val="1C48188B"/>
    <w:rsid w:val="1F7A065F"/>
    <w:rsid w:val="242B7D50"/>
    <w:rsid w:val="28D0736C"/>
    <w:rsid w:val="2CD33D94"/>
    <w:rsid w:val="2EB336F7"/>
    <w:rsid w:val="335D386F"/>
    <w:rsid w:val="34C82F8A"/>
    <w:rsid w:val="35786281"/>
    <w:rsid w:val="362C23BC"/>
    <w:rsid w:val="36ED15AA"/>
    <w:rsid w:val="38520AE8"/>
    <w:rsid w:val="399C4894"/>
    <w:rsid w:val="39B03DD0"/>
    <w:rsid w:val="3DBB6C7C"/>
    <w:rsid w:val="3E2A18B9"/>
    <w:rsid w:val="3FF662B1"/>
    <w:rsid w:val="458F2CAC"/>
    <w:rsid w:val="474754EB"/>
    <w:rsid w:val="490452FC"/>
    <w:rsid w:val="492F416F"/>
    <w:rsid w:val="4D691FE5"/>
    <w:rsid w:val="4E6571AD"/>
    <w:rsid w:val="50B82B49"/>
    <w:rsid w:val="51745BF7"/>
    <w:rsid w:val="526A007B"/>
    <w:rsid w:val="54D75773"/>
    <w:rsid w:val="55277A9F"/>
    <w:rsid w:val="5603170A"/>
    <w:rsid w:val="56A469C5"/>
    <w:rsid w:val="59582E90"/>
    <w:rsid w:val="59B221C7"/>
    <w:rsid w:val="5B8676E2"/>
    <w:rsid w:val="5CE337BF"/>
    <w:rsid w:val="5EFA3FB5"/>
    <w:rsid w:val="6071081F"/>
    <w:rsid w:val="68BF354D"/>
    <w:rsid w:val="694F2ECE"/>
    <w:rsid w:val="6B623B69"/>
    <w:rsid w:val="6D9F7A3A"/>
    <w:rsid w:val="6FF94444"/>
    <w:rsid w:val="70146CDF"/>
    <w:rsid w:val="71E51C01"/>
    <w:rsid w:val="76CB0923"/>
    <w:rsid w:val="77DC0A50"/>
    <w:rsid w:val="78715B20"/>
    <w:rsid w:val="7B452F65"/>
    <w:rsid w:val="7B8A1BFB"/>
    <w:rsid w:val="7CC609AE"/>
    <w:rsid w:val="7CE01F7C"/>
    <w:rsid w:val="7D3E7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2072</Words>
  <Characters>11817</Characters>
  <Lines>98</Lines>
  <Paragraphs>27</Paragraphs>
  <TotalTime>1</TotalTime>
  <ScaleCrop>false</ScaleCrop>
  <LinksUpToDate>false</LinksUpToDate>
  <CharactersWithSpaces>13862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2021-03-09T10:59:00Z</dcterms:created>
  <dc:creator>Echo</dc:creator>
  <cp:lastModifiedBy>叶钐湖</cp:lastModifiedBy>
  <cp:lastPrinted>2021-03-04T08:38:00Z</cp:lastPrinted>
  <dcterms:modified xsi:type="dcterms:W3CDTF">2021-03-16T02:26:12Z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164EE787B1EF45D581C98DDFCA448AA5</vt:lpwstr>
  </property>
</Properties>
</file>